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19EB" w:rsidRDefault="009319EB">
      <w:pPr>
        <w:pBdr>
          <w:top w:val="nil"/>
          <w:left w:val="nil"/>
          <w:bottom w:val="nil"/>
          <w:right w:val="nil"/>
          <w:between w:val="nil"/>
        </w:pBdr>
        <w:spacing w:line="276" w:lineRule="auto"/>
      </w:pPr>
    </w:p>
    <w:p w:rsidR="009319EB" w:rsidRDefault="009319EB">
      <w:pPr>
        <w:pBdr>
          <w:top w:val="nil"/>
          <w:left w:val="nil"/>
          <w:bottom w:val="nil"/>
          <w:right w:val="nil"/>
          <w:between w:val="nil"/>
        </w:pBdr>
        <w:spacing w:before="3"/>
        <w:rPr>
          <w:rFonts w:ascii="Times New Roman" w:eastAsia="Times New Roman" w:hAnsi="Times New Roman" w:cs="Times New Roman"/>
          <w:color w:val="000000"/>
        </w:rPr>
      </w:pPr>
    </w:p>
    <w:p w:rsidR="009319EB" w:rsidRDefault="00B77151">
      <w:pPr>
        <w:spacing w:before="101"/>
        <w:ind w:left="3848" w:right="3748"/>
        <w:jc w:val="center"/>
        <w:rPr>
          <w:b/>
        </w:rPr>
      </w:pPr>
      <w:r>
        <w:rPr>
          <w:b/>
          <w:u w:val="single"/>
        </w:rPr>
        <w:t>FONDOS CONCURSABLES 2025</w:t>
      </w:r>
    </w:p>
    <w:p w:rsidR="009319EB" w:rsidRDefault="00B77151">
      <w:pPr>
        <w:numPr>
          <w:ilvl w:val="0"/>
          <w:numId w:val="3"/>
        </w:numPr>
        <w:pBdr>
          <w:top w:val="nil"/>
          <w:left w:val="nil"/>
          <w:bottom w:val="nil"/>
          <w:right w:val="nil"/>
          <w:between w:val="nil"/>
        </w:pBdr>
        <w:tabs>
          <w:tab w:val="left" w:pos="1288"/>
        </w:tabs>
        <w:spacing w:before="177"/>
        <w:ind w:hanging="360"/>
        <w:rPr>
          <w:b/>
          <w:color w:val="000000"/>
        </w:rPr>
      </w:pPr>
      <w:r>
        <w:rPr>
          <w:b/>
          <w:color w:val="000000"/>
        </w:rPr>
        <w:t>DESCRIPCIÓN</w:t>
      </w:r>
    </w:p>
    <w:p w:rsidR="009319EB" w:rsidRDefault="00B77151">
      <w:pPr>
        <w:pBdr>
          <w:top w:val="nil"/>
          <w:left w:val="nil"/>
          <w:bottom w:val="nil"/>
          <w:right w:val="nil"/>
          <w:between w:val="nil"/>
        </w:pBdr>
        <w:spacing w:before="25" w:line="259" w:lineRule="auto"/>
        <w:ind w:left="220" w:right="116" w:firstLine="149"/>
        <w:jc w:val="both"/>
        <w:rPr>
          <w:color w:val="000000"/>
        </w:rPr>
      </w:pPr>
      <w:r>
        <w:t xml:space="preserve"> </w:t>
      </w:r>
      <w:r>
        <w:rPr>
          <w:color w:val="000000"/>
        </w:rPr>
        <w:t>Los Fondos Concursables dispuestos por el Centro de Padres (CPP), son parte del financiamiento destinado a incentivar y concretar proyectos de inversión que impacten positivamente en el desarrollo integral de la comunidad escolar, representada por estudiantes, padres,</w:t>
      </w:r>
      <w:r>
        <w:t xml:space="preserve"> madres, apoderados</w:t>
      </w:r>
      <w:r>
        <w:rPr>
          <w:color w:val="000000"/>
        </w:rPr>
        <w:t xml:space="preserve"> y profesores del Colegio Sagrados Corazones de </w:t>
      </w:r>
      <w:proofErr w:type="spellStart"/>
      <w:r>
        <w:rPr>
          <w:color w:val="000000"/>
        </w:rPr>
        <w:t>Manquehue</w:t>
      </w:r>
      <w:proofErr w:type="spellEnd"/>
      <w:r>
        <w:rPr>
          <w:color w:val="000000"/>
        </w:rPr>
        <w:t>.</w:t>
      </w:r>
    </w:p>
    <w:p w:rsidR="009319EB" w:rsidRDefault="00B77151">
      <w:pPr>
        <w:pStyle w:val="Ttulo1"/>
        <w:numPr>
          <w:ilvl w:val="0"/>
          <w:numId w:val="3"/>
        </w:numPr>
        <w:tabs>
          <w:tab w:val="left" w:pos="1198"/>
        </w:tabs>
        <w:spacing w:before="160"/>
        <w:ind w:left="1197" w:hanging="271"/>
      </w:pPr>
      <w:r>
        <w:t>ANTECEDENTES Y JUSTIFICACIÓN</w:t>
      </w:r>
    </w:p>
    <w:p w:rsidR="009319EB" w:rsidRDefault="00B77151">
      <w:pPr>
        <w:pBdr>
          <w:top w:val="nil"/>
          <w:left w:val="nil"/>
          <w:bottom w:val="nil"/>
          <w:right w:val="nil"/>
          <w:between w:val="nil"/>
        </w:pBdr>
        <w:spacing w:before="177" w:line="259" w:lineRule="auto"/>
        <w:ind w:left="220" w:right="117" w:firstLine="98"/>
        <w:jc w:val="both"/>
        <w:rPr>
          <w:color w:val="000000"/>
        </w:rPr>
      </w:pPr>
      <w:r>
        <w:t xml:space="preserve"> </w:t>
      </w:r>
      <w:r>
        <w:rPr>
          <w:color w:val="000000"/>
        </w:rPr>
        <w:t>El CPP, a través de esta actividad, busca motivar a los alumnos, profesores, y especialmente a los padres, madres y apoderados del colegio, a proponer ideas y proyectos que persigan fortalecer a nuestra comunidad en torno al objetivo de generar un ambiente fraterno y colaborativo.</w:t>
      </w:r>
    </w:p>
    <w:p w:rsidR="009319EB" w:rsidRDefault="00B77151">
      <w:pPr>
        <w:pBdr>
          <w:top w:val="nil"/>
          <w:left w:val="nil"/>
          <w:bottom w:val="nil"/>
          <w:right w:val="nil"/>
          <w:between w:val="nil"/>
        </w:pBdr>
        <w:spacing w:before="162" w:line="259" w:lineRule="auto"/>
        <w:ind w:left="220" w:right="118" w:firstLine="149"/>
        <w:jc w:val="both"/>
        <w:rPr>
          <w:color w:val="000000"/>
        </w:rPr>
      </w:pPr>
      <w:r>
        <w:t>A su vez, también se dirigen a i</w:t>
      </w:r>
      <w:r>
        <w:rPr>
          <w:color w:val="000000"/>
        </w:rPr>
        <w:t xml:space="preserve">nvolucrar e incentivar una participación activa de los miembros de nuestra comunidad escolar, tiene evidentes beneficios para consolidar aún más nuestra familia </w:t>
      </w:r>
      <w:proofErr w:type="spellStart"/>
      <w:r>
        <w:rPr>
          <w:color w:val="000000"/>
        </w:rPr>
        <w:t>Manquehuina</w:t>
      </w:r>
      <w:proofErr w:type="spellEnd"/>
      <w:r>
        <w:rPr>
          <w:color w:val="000000"/>
        </w:rPr>
        <w:t>, generando nuevos espacios de integración y creación conjunta.</w:t>
      </w:r>
    </w:p>
    <w:p w:rsidR="009319EB" w:rsidRDefault="00B77151">
      <w:pPr>
        <w:pStyle w:val="Ttulo1"/>
        <w:numPr>
          <w:ilvl w:val="0"/>
          <w:numId w:val="3"/>
        </w:numPr>
        <w:tabs>
          <w:tab w:val="left" w:pos="1148"/>
        </w:tabs>
        <w:spacing w:before="157"/>
        <w:ind w:left="1147" w:hanging="221"/>
      </w:pPr>
      <w:r>
        <w:t>OBJETIVOS</w:t>
      </w:r>
    </w:p>
    <w:p w:rsidR="009319EB" w:rsidRDefault="00B77151">
      <w:pPr>
        <w:numPr>
          <w:ilvl w:val="0"/>
          <w:numId w:val="2"/>
        </w:numPr>
        <w:pBdr>
          <w:top w:val="nil"/>
          <w:left w:val="nil"/>
          <w:bottom w:val="nil"/>
          <w:right w:val="nil"/>
          <w:between w:val="nil"/>
        </w:pBdr>
        <w:tabs>
          <w:tab w:val="left" w:pos="940"/>
        </w:tabs>
        <w:spacing w:before="184" w:line="256" w:lineRule="auto"/>
        <w:ind w:right="120"/>
        <w:rPr>
          <w:color w:val="000000"/>
        </w:rPr>
      </w:pPr>
      <w:r>
        <w:rPr>
          <w:color w:val="000000"/>
        </w:rPr>
        <w:t xml:space="preserve">Generar instancias de </w:t>
      </w:r>
      <w:r>
        <w:rPr>
          <w:b/>
          <w:color w:val="000000"/>
        </w:rPr>
        <w:t xml:space="preserve">participación </w:t>
      </w:r>
      <w:r>
        <w:rPr>
          <w:color w:val="000000"/>
        </w:rPr>
        <w:t xml:space="preserve">y </w:t>
      </w:r>
      <w:r>
        <w:rPr>
          <w:b/>
          <w:color w:val="000000"/>
        </w:rPr>
        <w:t xml:space="preserve">trabajo colaborativo </w:t>
      </w:r>
      <w:r>
        <w:rPr>
          <w:color w:val="000000"/>
        </w:rPr>
        <w:t>para alumnos, profesores, padres, madres y apoderados que permitan fortalecer el desarrollo de la comunidad escolar.</w:t>
      </w:r>
    </w:p>
    <w:p w:rsidR="009319EB" w:rsidRDefault="00B77151">
      <w:pPr>
        <w:numPr>
          <w:ilvl w:val="0"/>
          <w:numId w:val="2"/>
        </w:numPr>
        <w:pBdr>
          <w:top w:val="nil"/>
          <w:left w:val="nil"/>
          <w:bottom w:val="nil"/>
          <w:right w:val="nil"/>
          <w:between w:val="nil"/>
        </w:pBdr>
        <w:tabs>
          <w:tab w:val="left" w:pos="940"/>
        </w:tabs>
        <w:spacing w:before="5"/>
        <w:rPr>
          <w:color w:val="000000"/>
        </w:rPr>
      </w:pPr>
      <w:r>
        <w:rPr>
          <w:b/>
          <w:color w:val="000000"/>
        </w:rPr>
        <w:t xml:space="preserve">Apoyar el proceso educativo y formativo </w:t>
      </w:r>
      <w:r>
        <w:rPr>
          <w:color w:val="000000"/>
        </w:rPr>
        <w:t xml:space="preserve">de los alumnos a través del desarrollo de </w:t>
      </w:r>
      <w:r>
        <w:rPr>
          <w:b/>
          <w:color w:val="000000"/>
        </w:rPr>
        <w:t>proyectos creativos</w:t>
      </w:r>
      <w:r>
        <w:rPr>
          <w:color w:val="000000"/>
        </w:rPr>
        <w:t>.</w:t>
      </w:r>
    </w:p>
    <w:p w:rsidR="009319EB" w:rsidRDefault="00B77151">
      <w:pPr>
        <w:numPr>
          <w:ilvl w:val="0"/>
          <w:numId w:val="2"/>
        </w:numPr>
        <w:pBdr>
          <w:top w:val="nil"/>
          <w:left w:val="nil"/>
          <w:bottom w:val="nil"/>
          <w:right w:val="nil"/>
          <w:between w:val="nil"/>
        </w:pBdr>
        <w:tabs>
          <w:tab w:val="left" w:pos="940"/>
        </w:tabs>
        <w:spacing w:before="20" w:line="256" w:lineRule="auto"/>
        <w:ind w:right="117"/>
        <w:rPr>
          <w:color w:val="000000"/>
        </w:rPr>
      </w:pPr>
      <w:r>
        <w:rPr>
          <w:b/>
          <w:color w:val="000000"/>
        </w:rPr>
        <w:t>Generar capacidad instalada</w:t>
      </w:r>
      <w:r>
        <w:rPr>
          <w:color w:val="000000"/>
        </w:rPr>
        <w:t>, que quede como activo para la comunidad escolar, y cumpla con los otros objetivos acá planteados.</w:t>
      </w:r>
    </w:p>
    <w:p w:rsidR="009319EB" w:rsidRDefault="009319EB">
      <w:pPr>
        <w:pBdr>
          <w:top w:val="nil"/>
          <w:left w:val="nil"/>
          <w:bottom w:val="nil"/>
          <w:right w:val="nil"/>
          <w:between w:val="nil"/>
        </w:pBdr>
        <w:rPr>
          <w:color w:val="000000"/>
          <w:sz w:val="24"/>
          <w:szCs w:val="24"/>
        </w:rPr>
      </w:pPr>
    </w:p>
    <w:p w:rsidR="009319EB" w:rsidRDefault="00B77151">
      <w:pPr>
        <w:pStyle w:val="Ttulo1"/>
        <w:numPr>
          <w:ilvl w:val="0"/>
          <w:numId w:val="3"/>
        </w:numPr>
        <w:tabs>
          <w:tab w:val="left" w:pos="1160"/>
        </w:tabs>
        <w:ind w:left="1159" w:hanging="220"/>
      </w:pPr>
      <w:r>
        <w:t>BASES DE POSTULACIÓN</w:t>
      </w:r>
    </w:p>
    <w:p w:rsidR="009319EB" w:rsidRDefault="00B77151">
      <w:pPr>
        <w:spacing w:before="178"/>
        <w:ind w:left="940"/>
        <w:rPr>
          <w:b/>
        </w:rPr>
      </w:pPr>
      <w:r>
        <w:rPr>
          <w:b/>
        </w:rPr>
        <w:t>¿Quiénes pueden postular?</w:t>
      </w:r>
    </w:p>
    <w:p w:rsidR="009319EB" w:rsidRDefault="00B77151">
      <w:pPr>
        <w:pBdr>
          <w:top w:val="nil"/>
          <w:left w:val="nil"/>
          <w:bottom w:val="nil"/>
          <w:right w:val="nil"/>
          <w:between w:val="nil"/>
        </w:pBdr>
        <w:spacing w:before="182" w:line="259" w:lineRule="auto"/>
        <w:ind w:left="220" w:right="115" w:firstLine="197"/>
        <w:jc w:val="both"/>
        <w:rPr>
          <w:color w:val="000000"/>
        </w:rPr>
      </w:pPr>
      <w:r>
        <w:rPr>
          <w:color w:val="000000"/>
        </w:rPr>
        <w:t xml:space="preserve">Los Fondos Concursables están dirigidos a los miembros de la comunidad SS.CC. de </w:t>
      </w:r>
      <w:proofErr w:type="spellStart"/>
      <w:r>
        <w:rPr>
          <w:color w:val="000000"/>
        </w:rPr>
        <w:t>Manquehue</w:t>
      </w:r>
      <w:proofErr w:type="spellEnd"/>
      <w:r>
        <w:rPr>
          <w:color w:val="000000"/>
        </w:rPr>
        <w:t>, quienes podrán postular individualmente u organizados en grupo. Se privilegiará la integración de representantes de los diferentes subsistemas de la comunidad escolar.</w:t>
      </w:r>
    </w:p>
    <w:p w:rsidR="009319EB" w:rsidRDefault="00B77151">
      <w:pPr>
        <w:pBdr>
          <w:top w:val="nil"/>
          <w:left w:val="nil"/>
          <w:bottom w:val="nil"/>
          <w:right w:val="nil"/>
          <w:between w:val="nil"/>
        </w:pBdr>
        <w:spacing w:before="182" w:line="259" w:lineRule="auto"/>
        <w:ind w:left="220" w:right="115" w:firstLine="197"/>
        <w:jc w:val="both"/>
        <w:rPr>
          <w:b/>
        </w:rPr>
      </w:pPr>
      <w:r>
        <w:rPr>
          <w:b/>
        </w:rPr>
        <w:t xml:space="preserve">          ¿Quiénes no pueden postular?</w:t>
      </w:r>
    </w:p>
    <w:p w:rsidR="009319EB" w:rsidRDefault="00B77151">
      <w:pPr>
        <w:pBdr>
          <w:top w:val="nil"/>
          <w:left w:val="nil"/>
          <w:bottom w:val="nil"/>
          <w:right w:val="nil"/>
          <w:between w:val="nil"/>
        </w:pBdr>
        <w:spacing w:before="182" w:line="259" w:lineRule="auto"/>
        <w:ind w:left="220" w:right="115"/>
        <w:jc w:val="both"/>
      </w:pPr>
      <w:r>
        <w:rPr>
          <w:b/>
          <w:color w:val="000000"/>
        </w:rPr>
        <w:t xml:space="preserve">  </w:t>
      </w:r>
      <w:r>
        <w:t>Se excluyen</w:t>
      </w:r>
      <w:r>
        <w:rPr>
          <w:b/>
        </w:rPr>
        <w:t xml:space="preserve"> </w:t>
      </w:r>
      <w:r>
        <w:rPr>
          <w:color w:val="000000"/>
        </w:rPr>
        <w:t>de la posibilidad de presentar proyectos a aquellas personas que desempeñan roles de liderazgo en el CPP y/o en cualquiera las comisiones vinculadas</w:t>
      </w:r>
      <w:r>
        <w:t>, asimismo a personas de la comunidad escolar que se hayan adjudicado fondos concursables el año inmediatamente anterior. Aquellos proyectos que se presentaron en el período anterior y obtuvieron una calificación bajo lo esperada, tampoco podrán ser presentados.</w:t>
      </w:r>
    </w:p>
    <w:p w:rsidR="009319EB" w:rsidRDefault="00B77151">
      <w:pPr>
        <w:pBdr>
          <w:top w:val="nil"/>
          <w:left w:val="nil"/>
          <w:bottom w:val="nil"/>
          <w:right w:val="nil"/>
          <w:between w:val="nil"/>
        </w:pBdr>
        <w:spacing w:before="182" w:line="259" w:lineRule="auto"/>
        <w:ind w:right="115"/>
        <w:jc w:val="both"/>
        <w:rPr>
          <w:color w:val="FF0000"/>
        </w:rPr>
      </w:pPr>
      <w:r>
        <w:t xml:space="preserve">     Por otra parte, en el caso de aquellas personas que habiéndose adjudicado el proyecto no lo llevaron a </w:t>
      </w:r>
      <w:proofErr w:type="gramStart"/>
      <w:r>
        <w:t>cabo ,</w:t>
      </w:r>
      <w:proofErr w:type="gramEnd"/>
      <w:r>
        <w:t xml:space="preserve"> lo desarrollaron sólo en parte, o bien, habiéndolo ejecutado no cumple con los estándares mínimos de funcionamiento del proyecto, no podrán postular por un período de dos años.  </w:t>
      </w:r>
    </w:p>
    <w:p w:rsidR="009319EB" w:rsidRDefault="009319EB">
      <w:pPr>
        <w:pBdr>
          <w:top w:val="nil"/>
          <w:left w:val="nil"/>
          <w:bottom w:val="nil"/>
          <w:right w:val="nil"/>
          <w:between w:val="nil"/>
        </w:pBdr>
        <w:spacing w:before="182" w:line="259" w:lineRule="auto"/>
        <w:ind w:left="720" w:right="115"/>
        <w:jc w:val="both"/>
        <w:rPr>
          <w:color w:val="FF0000"/>
        </w:rPr>
      </w:pPr>
    </w:p>
    <w:p w:rsidR="009319EB" w:rsidRDefault="009319EB">
      <w:pPr>
        <w:pBdr>
          <w:top w:val="nil"/>
          <w:left w:val="nil"/>
          <w:bottom w:val="nil"/>
          <w:right w:val="nil"/>
          <w:between w:val="nil"/>
        </w:pBdr>
        <w:spacing w:before="182" w:line="259" w:lineRule="auto"/>
        <w:ind w:left="720" w:right="115"/>
        <w:jc w:val="both"/>
        <w:rPr>
          <w:color w:val="FF0000"/>
        </w:rPr>
      </w:pPr>
    </w:p>
    <w:p w:rsidR="009319EB" w:rsidRDefault="009319EB">
      <w:pPr>
        <w:pBdr>
          <w:top w:val="nil"/>
          <w:left w:val="nil"/>
          <w:bottom w:val="nil"/>
          <w:right w:val="nil"/>
          <w:between w:val="nil"/>
        </w:pBdr>
        <w:spacing w:before="182" w:line="259" w:lineRule="auto"/>
        <w:ind w:right="115"/>
        <w:jc w:val="both"/>
        <w:rPr>
          <w:color w:val="FF0000"/>
        </w:rPr>
      </w:pPr>
    </w:p>
    <w:p w:rsidR="009319EB" w:rsidRDefault="009319EB">
      <w:pPr>
        <w:pBdr>
          <w:top w:val="nil"/>
          <w:left w:val="nil"/>
          <w:bottom w:val="nil"/>
          <w:right w:val="nil"/>
          <w:between w:val="nil"/>
        </w:pBdr>
        <w:spacing w:before="182" w:line="259" w:lineRule="auto"/>
        <w:ind w:left="720" w:right="115"/>
        <w:jc w:val="both"/>
        <w:rPr>
          <w:color w:val="FF0000"/>
        </w:rPr>
      </w:pPr>
    </w:p>
    <w:p w:rsidR="009319EB" w:rsidRDefault="00B77151">
      <w:pPr>
        <w:pStyle w:val="Ttulo1"/>
        <w:spacing w:before="160"/>
        <w:ind w:firstLine="940"/>
      </w:pPr>
      <w:r>
        <w:t>¿Qué aspectos pueden ser considerados?</w:t>
      </w:r>
    </w:p>
    <w:p w:rsidR="009319EB" w:rsidRDefault="009319EB">
      <w:pPr>
        <w:pBdr>
          <w:top w:val="nil"/>
          <w:left w:val="nil"/>
          <w:bottom w:val="nil"/>
          <w:right w:val="nil"/>
          <w:between w:val="nil"/>
        </w:pBdr>
        <w:spacing w:before="7"/>
        <w:rPr>
          <w:b/>
          <w:color w:val="000000"/>
          <w:sz w:val="25"/>
          <w:szCs w:val="25"/>
        </w:rPr>
      </w:pPr>
    </w:p>
    <w:p w:rsidR="009319EB" w:rsidRDefault="00B77151">
      <w:pPr>
        <w:pBdr>
          <w:top w:val="nil"/>
          <w:left w:val="nil"/>
          <w:bottom w:val="nil"/>
          <w:right w:val="nil"/>
          <w:between w:val="nil"/>
        </w:pBdr>
        <w:spacing w:line="256" w:lineRule="auto"/>
        <w:ind w:left="220" w:right="118" w:firstLine="247"/>
        <w:jc w:val="both"/>
        <w:rPr>
          <w:color w:val="000000"/>
        </w:rPr>
      </w:pPr>
      <w:r>
        <w:rPr>
          <w:color w:val="000000"/>
        </w:rPr>
        <w:t xml:space="preserve">Los proyectos pueden contemplar inversiones y/o </w:t>
      </w:r>
      <w:r>
        <w:t>compra de activos</w:t>
      </w:r>
      <w:r>
        <w:rPr>
          <w:color w:val="000000"/>
        </w:rPr>
        <w:t xml:space="preserve"> para el colegio, bienes y servicios necesarios para la implementación de una propuesta con valor agregado e innovación para la comunidad escolar.</w:t>
      </w:r>
    </w:p>
    <w:p w:rsidR="009319EB" w:rsidRDefault="009319EB">
      <w:pPr>
        <w:pBdr>
          <w:top w:val="nil"/>
          <w:left w:val="nil"/>
          <w:bottom w:val="nil"/>
          <w:right w:val="nil"/>
          <w:between w:val="nil"/>
        </w:pBdr>
        <w:rPr>
          <w:color w:val="000000"/>
          <w:sz w:val="33"/>
          <w:szCs w:val="33"/>
        </w:rPr>
      </w:pPr>
    </w:p>
    <w:p w:rsidR="009319EB" w:rsidRDefault="00B77151">
      <w:pPr>
        <w:pStyle w:val="Ttulo1"/>
        <w:ind w:firstLine="940"/>
      </w:pPr>
      <w:r>
        <w:t>¿En qué temas o áreas se puede postular?</w:t>
      </w:r>
    </w:p>
    <w:p w:rsidR="009319EB" w:rsidRDefault="00B77151">
      <w:pPr>
        <w:numPr>
          <w:ilvl w:val="0"/>
          <w:numId w:val="2"/>
        </w:numPr>
        <w:tabs>
          <w:tab w:val="left" w:pos="940"/>
        </w:tabs>
        <w:spacing w:before="101"/>
      </w:pPr>
      <w:r>
        <w:t>Ciencias y Tecnología en la era Digital</w:t>
      </w:r>
    </w:p>
    <w:p w:rsidR="009319EB" w:rsidRDefault="00B77151">
      <w:pPr>
        <w:numPr>
          <w:ilvl w:val="0"/>
          <w:numId w:val="2"/>
        </w:numPr>
        <w:tabs>
          <w:tab w:val="left" w:pos="940"/>
        </w:tabs>
        <w:spacing w:before="20"/>
      </w:pPr>
      <w:r>
        <w:t>Medio Ambiente y Sustentabilidad</w:t>
      </w:r>
    </w:p>
    <w:p w:rsidR="009319EB" w:rsidRDefault="00B77151">
      <w:pPr>
        <w:numPr>
          <w:ilvl w:val="0"/>
          <w:numId w:val="2"/>
        </w:numPr>
        <w:tabs>
          <w:tab w:val="left" w:pos="940"/>
        </w:tabs>
        <w:spacing w:before="21"/>
      </w:pPr>
      <w:r>
        <w:t>Convivencia Escolar y Buen Trato</w:t>
      </w:r>
    </w:p>
    <w:p w:rsidR="009319EB" w:rsidRDefault="00B77151">
      <w:pPr>
        <w:numPr>
          <w:ilvl w:val="0"/>
          <w:numId w:val="2"/>
        </w:numPr>
        <w:tabs>
          <w:tab w:val="left" w:pos="940"/>
        </w:tabs>
        <w:spacing w:before="20"/>
      </w:pPr>
      <w:r>
        <w:t>Desarrollo Socio-Emocional y Autocuidado</w:t>
      </w:r>
    </w:p>
    <w:p w:rsidR="009319EB" w:rsidRDefault="00B77151">
      <w:pPr>
        <w:numPr>
          <w:ilvl w:val="0"/>
          <w:numId w:val="2"/>
        </w:numPr>
        <w:tabs>
          <w:tab w:val="left" w:pos="940"/>
        </w:tabs>
        <w:spacing w:before="20"/>
      </w:pPr>
      <w:r>
        <w:t>Difusión de las Artes y la Cultura</w:t>
      </w:r>
    </w:p>
    <w:p w:rsidR="009319EB" w:rsidRDefault="00B77151">
      <w:pPr>
        <w:numPr>
          <w:ilvl w:val="0"/>
          <w:numId w:val="2"/>
        </w:numPr>
        <w:tabs>
          <w:tab w:val="left" w:pos="940"/>
        </w:tabs>
        <w:spacing w:before="26"/>
      </w:pPr>
      <w:r>
        <w:t>Deportes y Estilo de Vida Saludable</w:t>
      </w:r>
    </w:p>
    <w:p w:rsidR="009319EB" w:rsidRDefault="00B77151">
      <w:pPr>
        <w:numPr>
          <w:ilvl w:val="0"/>
          <w:numId w:val="2"/>
        </w:numPr>
        <w:tabs>
          <w:tab w:val="left" w:pos="940"/>
        </w:tabs>
        <w:spacing w:before="26"/>
      </w:pPr>
      <w:r>
        <w:t>Desarrollo de idiomas</w:t>
      </w:r>
    </w:p>
    <w:p w:rsidR="009319EB" w:rsidRDefault="00B77151">
      <w:pPr>
        <w:numPr>
          <w:ilvl w:val="0"/>
          <w:numId w:val="2"/>
        </w:numPr>
        <w:tabs>
          <w:tab w:val="left" w:pos="940"/>
        </w:tabs>
        <w:spacing w:before="26"/>
      </w:pPr>
      <w:r>
        <w:t>Área académica</w:t>
      </w:r>
    </w:p>
    <w:p w:rsidR="009319EB" w:rsidRDefault="009319EB">
      <w:pPr>
        <w:spacing w:before="2"/>
        <w:rPr>
          <w:sz w:val="25"/>
          <w:szCs w:val="25"/>
        </w:rPr>
      </w:pPr>
    </w:p>
    <w:p w:rsidR="009319EB" w:rsidRDefault="00B77151">
      <w:pPr>
        <w:spacing w:line="261" w:lineRule="auto"/>
        <w:ind w:left="220" w:firstLine="149"/>
      </w:pPr>
      <w:r>
        <w:t xml:space="preserve">Los proyectos presentados deberán postular en línea, a través del </w:t>
      </w:r>
      <w:r>
        <w:rPr>
          <w:b/>
        </w:rPr>
        <w:t xml:space="preserve">Formulario de Postulación a Fondos Concursables </w:t>
      </w:r>
      <w:r>
        <w:t xml:space="preserve">que se encuentra en la página web del CPP </w:t>
      </w:r>
      <w:r>
        <w:rPr>
          <w:color w:val="1155CC"/>
          <w:u w:val="single"/>
        </w:rPr>
        <w:t>https://cppmanquehue.cl</w:t>
      </w:r>
      <w:r>
        <w:t>.</w:t>
      </w:r>
    </w:p>
    <w:p w:rsidR="009319EB" w:rsidRDefault="00B77151">
      <w:pPr>
        <w:spacing w:before="154"/>
        <w:ind w:left="269"/>
      </w:pPr>
      <w:r>
        <w:rPr>
          <w:b/>
        </w:rPr>
        <w:t>El plazo de pos</w:t>
      </w:r>
      <w:r w:rsidR="005E6B00">
        <w:rPr>
          <w:b/>
        </w:rPr>
        <w:t xml:space="preserve">tulación es entre el </w:t>
      </w:r>
      <w:proofErr w:type="gramStart"/>
      <w:r w:rsidR="005E6B00">
        <w:rPr>
          <w:b/>
        </w:rPr>
        <w:t>Lunes</w:t>
      </w:r>
      <w:proofErr w:type="gramEnd"/>
      <w:r w:rsidR="005E6B00">
        <w:rPr>
          <w:b/>
        </w:rPr>
        <w:t xml:space="preserve"> 12 de Mayo hasta Jueves 29 de Mayo del </w:t>
      </w:r>
      <w:r>
        <w:rPr>
          <w:b/>
        </w:rPr>
        <w:t xml:space="preserve">2025, </w:t>
      </w:r>
      <w:r>
        <w:t>ambas fechas inclusive.</w:t>
      </w:r>
    </w:p>
    <w:p w:rsidR="009319EB" w:rsidRDefault="009319EB">
      <w:pPr>
        <w:spacing w:before="11"/>
        <w:rPr>
          <w:sz w:val="25"/>
          <w:szCs w:val="25"/>
        </w:rPr>
      </w:pPr>
    </w:p>
    <w:p w:rsidR="009319EB" w:rsidRDefault="00B77151">
      <w:pPr>
        <w:pStyle w:val="Ttulo1"/>
        <w:numPr>
          <w:ilvl w:val="0"/>
          <w:numId w:val="3"/>
        </w:numPr>
        <w:tabs>
          <w:tab w:val="left" w:pos="1148"/>
        </w:tabs>
        <w:spacing w:line="398" w:lineRule="auto"/>
        <w:ind w:left="220" w:right="503" w:firstLine="708"/>
      </w:pPr>
      <w:bookmarkStart w:id="0" w:name="_heading=h.z5oy57s6ggs9" w:colFirst="0" w:colLast="0"/>
      <w:bookmarkEnd w:id="0"/>
      <w:r>
        <w:t>EJECUCIÓN DE PROYECTOS.</w:t>
      </w:r>
    </w:p>
    <w:p w:rsidR="009319EB" w:rsidRDefault="00B77151">
      <w:pPr>
        <w:pStyle w:val="Ttulo1"/>
        <w:tabs>
          <w:tab w:val="left" w:pos="1148"/>
        </w:tabs>
        <w:spacing w:line="398" w:lineRule="auto"/>
        <w:ind w:left="1288" w:right="503"/>
      </w:pPr>
      <w:bookmarkStart w:id="1" w:name="_heading=h.lq74gt2fmazq" w:colFirst="0" w:colLast="0"/>
      <w:bookmarkEnd w:id="1"/>
      <w:r>
        <w:t>Generalidades</w:t>
      </w:r>
    </w:p>
    <w:p w:rsidR="009319EB" w:rsidRDefault="00B77151">
      <w:pPr>
        <w:numPr>
          <w:ilvl w:val="0"/>
          <w:numId w:val="2"/>
        </w:numPr>
        <w:tabs>
          <w:tab w:val="left" w:pos="940"/>
        </w:tabs>
        <w:spacing w:before="7" w:line="256" w:lineRule="auto"/>
        <w:ind w:right="115"/>
      </w:pPr>
      <w:r>
        <w:t>Los proyectos deberán ejecutarse durante el segundo semestr</w:t>
      </w:r>
      <w:r w:rsidR="005E6B00">
        <w:t xml:space="preserve">e 2025 con fecha tope hasta el 29 </w:t>
      </w:r>
      <w:r>
        <w:t xml:space="preserve">de noviembre 2025. </w:t>
      </w:r>
    </w:p>
    <w:p w:rsidR="009319EB" w:rsidRDefault="00B77151">
      <w:pPr>
        <w:numPr>
          <w:ilvl w:val="0"/>
          <w:numId w:val="2"/>
        </w:numPr>
        <w:tabs>
          <w:tab w:val="left" w:pos="940"/>
        </w:tabs>
        <w:spacing w:before="7" w:line="256" w:lineRule="auto"/>
        <w:ind w:right="115"/>
      </w:pPr>
      <w:r>
        <w:t>Todo dinero aportado por el CPP, para la ejecución del proyecto, se realizará contra boleta o factura.</w:t>
      </w:r>
    </w:p>
    <w:p w:rsidR="009319EB" w:rsidRDefault="00B77151">
      <w:pPr>
        <w:numPr>
          <w:ilvl w:val="0"/>
          <w:numId w:val="2"/>
        </w:numPr>
        <w:tabs>
          <w:tab w:val="left" w:pos="940"/>
        </w:tabs>
        <w:spacing w:before="7" w:line="256" w:lineRule="auto"/>
        <w:ind w:right="115"/>
      </w:pPr>
      <w:r>
        <w:t>De no realizarse el proyecto dentro del plazo establecido en las bases, éste se considerará como no presentado. De haber dineros comprometidos entre el CPP y el ganador del proyecto, éstos deberán ser reembolsados hasta el día 5 diciembre 2025, sin extensión de plazo.</w:t>
      </w:r>
    </w:p>
    <w:p w:rsidR="009319EB" w:rsidRDefault="00B77151">
      <w:pPr>
        <w:numPr>
          <w:ilvl w:val="0"/>
          <w:numId w:val="2"/>
        </w:numPr>
        <w:tabs>
          <w:tab w:val="left" w:pos="940"/>
        </w:tabs>
        <w:spacing w:before="7" w:line="256" w:lineRule="auto"/>
        <w:ind w:right="115"/>
      </w:pPr>
      <w:r>
        <w:t xml:space="preserve">Cada proyecto tendrá asignado a un coordinador, que será director del CPP o miembro de alguna de las comisiones dependientes de éste. Toda planificación, </w:t>
      </w:r>
      <w:proofErr w:type="gramStart"/>
      <w:r>
        <w:t>consultas  y</w:t>
      </w:r>
      <w:proofErr w:type="gramEnd"/>
      <w:r>
        <w:t xml:space="preserve"> ejecución del proyecto, deberá ser canalizado y liderado por esta persona.</w:t>
      </w:r>
    </w:p>
    <w:p w:rsidR="009319EB" w:rsidRDefault="00B77151">
      <w:pPr>
        <w:numPr>
          <w:ilvl w:val="0"/>
          <w:numId w:val="2"/>
        </w:numPr>
        <w:tabs>
          <w:tab w:val="left" w:pos="940"/>
        </w:tabs>
        <w:spacing w:before="7" w:line="256" w:lineRule="auto"/>
        <w:ind w:right="115"/>
      </w:pPr>
      <w:r>
        <w:t>Se debe considerar que el Colegio es un gran sistema que se encarga de muchos procesos planificados y organizados minuciosamente. Por lo tanto, el proyecto presentado tiene que considerar la viabilidad en su ejecución siendo sencillo, preciso, acotado, practicable en los plazos determinados, es decir, que no demande gran cantidad de tiempo ni de recursos humanos.</w:t>
      </w:r>
    </w:p>
    <w:p w:rsidR="009319EB" w:rsidRDefault="009319EB">
      <w:pPr>
        <w:tabs>
          <w:tab w:val="left" w:pos="940"/>
        </w:tabs>
        <w:spacing w:before="7" w:line="256" w:lineRule="auto"/>
        <w:ind w:left="940" w:right="115"/>
      </w:pPr>
    </w:p>
    <w:p w:rsidR="009319EB" w:rsidRDefault="009319EB">
      <w:pPr>
        <w:tabs>
          <w:tab w:val="left" w:pos="940"/>
        </w:tabs>
        <w:spacing w:before="5" w:line="256" w:lineRule="auto"/>
        <w:ind w:left="940" w:right="117"/>
        <w:sectPr w:rsidR="009319EB">
          <w:headerReference w:type="default" r:id="rId8"/>
          <w:footerReference w:type="default" r:id="rId9"/>
          <w:pgSz w:w="12240" w:h="15840"/>
          <w:pgMar w:top="2140" w:right="960" w:bottom="940" w:left="860" w:header="1050" w:footer="750" w:gutter="0"/>
          <w:pgNumType w:start="1"/>
          <w:cols w:space="720"/>
        </w:sectPr>
      </w:pPr>
    </w:p>
    <w:p w:rsidR="009319EB" w:rsidRDefault="009319EB">
      <w:pPr>
        <w:pBdr>
          <w:top w:val="nil"/>
          <w:left w:val="nil"/>
          <w:bottom w:val="nil"/>
          <w:right w:val="nil"/>
          <w:between w:val="nil"/>
        </w:pBdr>
        <w:rPr>
          <w:color w:val="000000"/>
          <w:sz w:val="26"/>
          <w:szCs w:val="26"/>
        </w:rPr>
      </w:pPr>
    </w:p>
    <w:p w:rsidR="009319EB" w:rsidRDefault="009319EB">
      <w:pPr>
        <w:pBdr>
          <w:top w:val="nil"/>
          <w:left w:val="nil"/>
          <w:bottom w:val="nil"/>
          <w:right w:val="nil"/>
          <w:between w:val="nil"/>
        </w:pBdr>
        <w:tabs>
          <w:tab w:val="left" w:pos="940"/>
        </w:tabs>
        <w:spacing w:before="5" w:line="256" w:lineRule="auto"/>
        <w:ind w:left="940" w:right="117"/>
        <w:rPr>
          <w:color w:val="FF0000"/>
        </w:rPr>
      </w:pPr>
    </w:p>
    <w:p w:rsidR="009319EB" w:rsidRDefault="009319EB">
      <w:pPr>
        <w:pBdr>
          <w:top w:val="nil"/>
          <w:left w:val="nil"/>
          <w:bottom w:val="nil"/>
          <w:right w:val="nil"/>
          <w:between w:val="nil"/>
        </w:pBdr>
        <w:spacing w:before="8"/>
        <w:rPr>
          <w:color w:val="000000"/>
          <w:sz w:val="15"/>
          <w:szCs w:val="15"/>
        </w:rPr>
      </w:pPr>
    </w:p>
    <w:p w:rsidR="009319EB" w:rsidRDefault="00B77151">
      <w:pPr>
        <w:pStyle w:val="Ttulo1"/>
        <w:spacing w:before="101"/>
        <w:ind w:left="220"/>
      </w:pPr>
      <w:r>
        <w:t xml:space="preserve">      Reglamento de ejecución.</w:t>
      </w:r>
    </w:p>
    <w:p w:rsidR="009319EB" w:rsidRDefault="00B77151">
      <w:pPr>
        <w:numPr>
          <w:ilvl w:val="0"/>
          <w:numId w:val="1"/>
        </w:numPr>
        <w:pBdr>
          <w:top w:val="nil"/>
          <w:left w:val="nil"/>
          <w:bottom w:val="nil"/>
          <w:right w:val="nil"/>
          <w:between w:val="nil"/>
        </w:pBdr>
        <w:tabs>
          <w:tab w:val="left" w:pos="940"/>
        </w:tabs>
        <w:spacing w:before="178"/>
        <w:jc w:val="both"/>
        <w:rPr>
          <w:color w:val="000000"/>
        </w:rPr>
      </w:pPr>
      <w:r>
        <w:rPr>
          <w:color w:val="000000"/>
        </w:rPr>
        <w:t>Los postulantes se comprometen a la realización del proyecto en el plazo señalado.</w:t>
      </w:r>
    </w:p>
    <w:p w:rsidR="009319EB" w:rsidRDefault="00B77151">
      <w:pPr>
        <w:numPr>
          <w:ilvl w:val="0"/>
          <w:numId w:val="1"/>
        </w:numPr>
        <w:pBdr>
          <w:top w:val="nil"/>
          <w:left w:val="nil"/>
          <w:bottom w:val="nil"/>
          <w:right w:val="nil"/>
          <w:between w:val="nil"/>
        </w:pBdr>
        <w:tabs>
          <w:tab w:val="left" w:pos="940"/>
        </w:tabs>
        <w:spacing w:before="24" w:line="256" w:lineRule="auto"/>
        <w:ind w:right="117"/>
        <w:jc w:val="both"/>
        <w:rPr>
          <w:color w:val="000000"/>
        </w:rPr>
      </w:pPr>
      <w:r>
        <w:rPr>
          <w:color w:val="000000"/>
        </w:rPr>
        <w:t>Los proyectos aprobados que no se realicen en el periodo establecido no podrán ser nuevamente presentados y la o las personas que</w:t>
      </w:r>
      <w:r>
        <w:t xml:space="preserve"> se lo adjudicaron, no podrán presentar proyectos en un período de 2 </w:t>
      </w:r>
      <w:proofErr w:type="gramStart"/>
      <w:r>
        <w:t xml:space="preserve">años </w:t>
      </w:r>
      <w:r>
        <w:rPr>
          <w:color w:val="000000"/>
        </w:rPr>
        <w:t>.</w:t>
      </w:r>
      <w:proofErr w:type="gramEnd"/>
      <w:r>
        <w:rPr>
          <w:color w:val="000000"/>
        </w:rPr>
        <w:t xml:space="preserve"> </w:t>
      </w:r>
    </w:p>
    <w:p w:rsidR="009319EB" w:rsidRDefault="00B77151">
      <w:pPr>
        <w:numPr>
          <w:ilvl w:val="0"/>
          <w:numId w:val="1"/>
        </w:numPr>
        <w:pBdr>
          <w:top w:val="nil"/>
          <w:left w:val="nil"/>
          <w:bottom w:val="nil"/>
          <w:right w:val="nil"/>
          <w:between w:val="nil"/>
        </w:pBdr>
        <w:tabs>
          <w:tab w:val="left" w:pos="940"/>
        </w:tabs>
        <w:spacing w:before="2" w:line="259" w:lineRule="auto"/>
        <w:ind w:right="114"/>
        <w:jc w:val="both"/>
        <w:rPr>
          <w:color w:val="000000"/>
        </w:rPr>
      </w:pPr>
      <w:r>
        <w:rPr>
          <w:color w:val="000000"/>
        </w:rPr>
        <w:t xml:space="preserve">La Comisión Académica del CPP </w:t>
      </w:r>
      <w:r>
        <w:t xml:space="preserve">preseleccionará 6 proyectos al menos, de </w:t>
      </w:r>
      <w:r>
        <w:rPr>
          <w:color w:val="000000"/>
        </w:rPr>
        <w:t xml:space="preserve">aquellos que serán presentados en la instancia formal. Al respecto la Comisión Académica del CPP enviará por correo electrónico la pauta de evaluación de la presentación preliminar del proyecto a cada postulante. </w:t>
      </w:r>
    </w:p>
    <w:p w:rsidR="009319EB" w:rsidRDefault="00B77151">
      <w:pPr>
        <w:numPr>
          <w:ilvl w:val="0"/>
          <w:numId w:val="1"/>
        </w:numPr>
        <w:pBdr>
          <w:top w:val="nil"/>
          <w:left w:val="nil"/>
          <w:bottom w:val="nil"/>
          <w:right w:val="nil"/>
          <w:between w:val="nil"/>
        </w:pBdr>
        <w:tabs>
          <w:tab w:val="left" w:pos="940"/>
        </w:tabs>
        <w:spacing w:line="261" w:lineRule="auto"/>
        <w:ind w:right="122"/>
        <w:jc w:val="both"/>
        <w:rPr>
          <w:color w:val="000000"/>
        </w:rPr>
      </w:pPr>
      <w:r>
        <w:rPr>
          <w:color w:val="000000"/>
        </w:rPr>
        <w:t>El CPP podrá estudiar la continuidad de algún proyecto, en caso de que el representante de éste perdiera por alguna razón su calidad de tal.</w:t>
      </w:r>
    </w:p>
    <w:p w:rsidR="009319EB" w:rsidRDefault="00B77151">
      <w:pPr>
        <w:numPr>
          <w:ilvl w:val="0"/>
          <w:numId w:val="1"/>
        </w:numPr>
        <w:pBdr>
          <w:top w:val="nil"/>
          <w:left w:val="nil"/>
          <w:bottom w:val="nil"/>
          <w:right w:val="nil"/>
          <w:between w:val="nil"/>
        </w:pBdr>
        <w:tabs>
          <w:tab w:val="left" w:pos="940"/>
        </w:tabs>
        <w:spacing w:line="259" w:lineRule="auto"/>
        <w:ind w:right="117"/>
        <w:jc w:val="both"/>
        <w:rPr>
          <w:color w:val="000000"/>
        </w:rPr>
      </w:pPr>
      <w:r>
        <w:rPr>
          <w:color w:val="000000"/>
        </w:rPr>
        <w:t>Los responsables del proyecto deberán rendir y dar cuenta de la ejecución y de los montos asignados a este, a la Directiva del CPP, por medio del formulario rendición de cuentas, y el CPP lo integrará en su rendición anual de gestión.</w:t>
      </w:r>
    </w:p>
    <w:p w:rsidR="009319EB" w:rsidRDefault="00B77151">
      <w:pPr>
        <w:numPr>
          <w:ilvl w:val="0"/>
          <w:numId w:val="1"/>
        </w:numPr>
        <w:pBdr>
          <w:top w:val="nil"/>
          <w:left w:val="nil"/>
          <w:bottom w:val="nil"/>
          <w:right w:val="nil"/>
          <w:between w:val="nil"/>
        </w:pBdr>
        <w:tabs>
          <w:tab w:val="left" w:pos="940"/>
        </w:tabs>
        <w:spacing w:line="261" w:lineRule="auto"/>
        <w:ind w:right="117"/>
        <w:jc w:val="both"/>
        <w:rPr>
          <w:color w:val="000000"/>
        </w:rPr>
      </w:pPr>
      <w:r>
        <w:rPr>
          <w:color w:val="000000"/>
        </w:rPr>
        <w:t>Todos los proyectos adjudicados, deberán obtener expresa autorización de ejecución por parte de la Rectoría del Colegio, gestión en la cual el CPP deberá ser involucrado.</w:t>
      </w:r>
    </w:p>
    <w:p w:rsidR="009319EB" w:rsidRDefault="009319EB">
      <w:pPr>
        <w:pBdr>
          <w:top w:val="nil"/>
          <w:left w:val="nil"/>
          <w:bottom w:val="nil"/>
          <w:right w:val="nil"/>
          <w:between w:val="nil"/>
        </w:pBdr>
        <w:spacing w:before="12"/>
        <w:rPr>
          <w:sz w:val="35"/>
          <w:szCs w:val="35"/>
        </w:rPr>
      </w:pPr>
    </w:p>
    <w:p w:rsidR="009319EB" w:rsidRDefault="00B77151">
      <w:pPr>
        <w:pStyle w:val="Ttulo1"/>
        <w:numPr>
          <w:ilvl w:val="0"/>
          <w:numId w:val="3"/>
        </w:numPr>
        <w:tabs>
          <w:tab w:val="left" w:pos="900"/>
        </w:tabs>
        <w:ind w:left="899" w:hanging="220"/>
        <w:jc w:val="both"/>
      </w:pPr>
      <w:r>
        <w:t xml:space="preserve"> FINANCIAMIENTO</w:t>
      </w:r>
    </w:p>
    <w:p w:rsidR="009319EB" w:rsidRDefault="009319EB">
      <w:pPr>
        <w:pStyle w:val="Ttulo1"/>
        <w:tabs>
          <w:tab w:val="left" w:pos="900"/>
        </w:tabs>
        <w:ind w:left="566"/>
        <w:jc w:val="both"/>
      </w:pPr>
      <w:bookmarkStart w:id="2" w:name="_heading=h.mnk69jocccbm" w:colFirst="0" w:colLast="0"/>
      <w:bookmarkEnd w:id="2"/>
    </w:p>
    <w:p w:rsidR="009319EB" w:rsidRDefault="00B77151">
      <w:pPr>
        <w:pStyle w:val="Ttulo1"/>
        <w:tabs>
          <w:tab w:val="left" w:pos="900"/>
        </w:tabs>
        <w:spacing w:line="276" w:lineRule="auto"/>
        <w:ind w:left="283"/>
        <w:jc w:val="both"/>
        <w:rPr>
          <w:b w:val="0"/>
        </w:rPr>
      </w:pPr>
      <w:r>
        <w:rPr>
          <w:b w:val="0"/>
        </w:rPr>
        <w:t xml:space="preserve">    El presupuesto total de los Fondos Concursables será de $3.000.000 (tres millones de pesos) incluidos impuestos, monto que será repartido entre todos los proyectos ganadores.</w:t>
      </w:r>
    </w:p>
    <w:p w:rsidR="009319EB" w:rsidRDefault="00B77151">
      <w:pPr>
        <w:pStyle w:val="Ttulo1"/>
        <w:tabs>
          <w:tab w:val="left" w:pos="900"/>
        </w:tabs>
        <w:spacing w:line="276" w:lineRule="auto"/>
        <w:ind w:left="283"/>
        <w:jc w:val="both"/>
        <w:rPr>
          <w:b w:val="0"/>
        </w:rPr>
      </w:pPr>
      <w:r>
        <w:rPr>
          <w:b w:val="0"/>
        </w:rPr>
        <w:t xml:space="preserve">    El aporte individual por proyecto será de hasta un máximo de $1.000.000 (un millón de pesos) incluidos impuestos. Esto significa que $1.000.000 líquidos se entregarán como fondo máximo a cada proyecto ganador. Dicho monto debe ser destinado a financiar en forma parcial o total él o los proyectos seleccionados. El referido monto de $1.000.000 líquidos es el tope, y cada proyecto deberá justificar los fondos que solicite.</w:t>
      </w:r>
    </w:p>
    <w:p w:rsidR="009319EB" w:rsidRDefault="00B77151">
      <w:pPr>
        <w:pStyle w:val="Ttulo1"/>
        <w:tabs>
          <w:tab w:val="left" w:pos="900"/>
        </w:tabs>
        <w:spacing w:line="276" w:lineRule="auto"/>
        <w:ind w:left="0"/>
        <w:jc w:val="both"/>
        <w:rPr>
          <w:b w:val="0"/>
        </w:rPr>
      </w:pPr>
      <w:r>
        <w:rPr>
          <w:b w:val="0"/>
        </w:rPr>
        <w:t xml:space="preserve">            Siempre podrá declararse empate. Si esto ocurriera tendrían que repartirse los proyectos empatados los</w:t>
      </w:r>
    </w:p>
    <w:p w:rsidR="009319EB" w:rsidRDefault="00B77151">
      <w:pPr>
        <w:spacing w:before="19" w:line="276" w:lineRule="auto"/>
        <w:ind w:left="283"/>
        <w:jc w:val="both"/>
      </w:pPr>
      <w:r>
        <w:t>$1.000.000 entre los dos equipos. A su vez, la comisión podrá declarar que no existen ganadores.</w:t>
      </w:r>
    </w:p>
    <w:p w:rsidR="009319EB" w:rsidRDefault="00B77151">
      <w:pPr>
        <w:spacing w:before="19" w:line="276" w:lineRule="auto"/>
        <w:ind w:left="283"/>
        <w:jc w:val="both"/>
      </w:pPr>
      <w:r>
        <w:t xml:space="preserve">   Aquellos proyectos que incluyan un cofinanciamiento, es decir, que aparte del dinero solicitado al Fondo Concursable del CPP consideren un aporte de dinero por cuenta propia, ya sea aportado a través del colegio, apoderados o terceros (auspicios deberán contar con aprobación explícita de Rectoría), tendrán una evaluación mayor. En este caso, los postulantes deben obligatoriamente aportar la totalidad del dinero comprometido. De producirse algún ahorro al ejecutar el proyecto, la diferencia a favor de la inversión final será en beneficio del CPP y no podrá ser descontada del aporte ofrecido por los postulantes.</w:t>
      </w:r>
    </w:p>
    <w:p w:rsidR="009319EB" w:rsidRDefault="009319EB">
      <w:pPr>
        <w:tabs>
          <w:tab w:val="left" w:pos="900"/>
        </w:tabs>
        <w:sectPr w:rsidR="009319EB">
          <w:pgSz w:w="12240" w:h="15840"/>
          <w:pgMar w:top="2140" w:right="960" w:bottom="940" w:left="860" w:header="1050" w:footer="750" w:gutter="0"/>
          <w:cols w:space="720"/>
        </w:sectPr>
      </w:pPr>
    </w:p>
    <w:p w:rsidR="009319EB" w:rsidRDefault="009319EB">
      <w:pPr>
        <w:pBdr>
          <w:top w:val="nil"/>
          <w:left w:val="nil"/>
          <w:bottom w:val="nil"/>
          <w:right w:val="nil"/>
          <w:between w:val="nil"/>
        </w:pBdr>
        <w:spacing w:before="12"/>
        <w:rPr>
          <w:b/>
          <w:color w:val="000000"/>
          <w:sz w:val="20"/>
          <w:szCs w:val="20"/>
        </w:rPr>
      </w:pPr>
    </w:p>
    <w:p w:rsidR="009319EB" w:rsidRDefault="00B77151">
      <w:pPr>
        <w:pStyle w:val="Ttulo1"/>
        <w:numPr>
          <w:ilvl w:val="0"/>
          <w:numId w:val="3"/>
        </w:numPr>
        <w:tabs>
          <w:tab w:val="left" w:pos="1148"/>
        </w:tabs>
        <w:spacing w:before="178"/>
        <w:ind w:left="1148" w:hanging="221"/>
      </w:pPr>
      <w:r>
        <w:t>PRESENTACIÓN PROYECTOS A LA COMISIÓN</w:t>
      </w:r>
    </w:p>
    <w:p w:rsidR="009319EB" w:rsidRDefault="00B77151">
      <w:pPr>
        <w:pBdr>
          <w:top w:val="nil"/>
          <w:left w:val="nil"/>
          <w:bottom w:val="nil"/>
          <w:right w:val="nil"/>
          <w:between w:val="nil"/>
        </w:pBdr>
        <w:spacing w:before="143" w:line="259" w:lineRule="auto"/>
        <w:ind w:left="220" w:right="117"/>
        <w:jc w:val="both"/>
        <w:rPr>
          <w:color w:val="000000"/>
        </w:rPr>
      </w:pPr>
      <w:r>
        <w:t xml:space="preserve">    </w:t>
      </w:r>
      <w:r>
        <w:rPr>
          <w:color w:val="000000"/>
        </w:rPr>
        <w:t xml:space="preserve">Cada representante de un proyecto, o quien este designe, </w:t>
      </w:r>
      <w:r>
        <w:t>deberá</w:t>
      </w:r>
      <w:r>
        <w:rPr>
          <w:color w:val="000000"/>
        </w:rPr>
        <w:t xml:space="preserve"> realizar una presentación del proyecto ante la </w:t>
      </w:r>
      <w:r>
        <w:rPr>
          <w:b/>
          <w:color w:val="000000"/>
        </w:rPr>
        <w:t>Comisión Evaluadora</w:t>
      </w:r>
      <w:r>
        <w:rPr>
          <w:color w:val="000000"/>
        </w:rPr>
        <w:t>. En esta instancia la comisión podrá realizar consultas y aclarar dudas, así como discutir el presupuesto y otros temas relevantes del proyecto.</w:t>
      </w:r>
    </w:p>
    <w:p w:rsidR="009319EB" w:rsidRDefault="00B77151">
      <w:pPr>
        <w:pBdr>
          <w:top w:val="nil"/>
          <w:left w:val="nil"/>
          <w:bottom w:val="nil"/>
          <w:right w:val="nil"/>
          <w:between w:val="nil"/>
        </w:pBdr>
        <w:spacing w:before="157"/>
        <w:ind w:left="220"/>
        <w:jc w:val="both"/>
        <w:rPr>
          <w:color w:val="000000"/>
        </w:rPr>
      </w:pPr>
      <w:r>
        <w:t xml:space="preserve">   </w:t>
      </w:r>
      <w:r>
        <w:rPr>
          <w:color w:val="000000"/>
        </w:rPr>
        <w:t>Los ítems que debe contener esta presentación son al menos los mismos del formulario de presentación, es decir:</w:t>
      </w:r>
    </w:p>
    <w:p w:rsidR="009319EB" w:rsidRDefault="00B77151">
      <w:pPr>
        <w:numPr>
          <w:ilvl w:val="1"/>
          <w:numId w:val="6"/>
        </w:numPr>
        <w:pBdr>
          <w:top w:val="nil"/>
          <w:left w:val="nil"/>
          <w:bottom w:val="nil"/>
          <w:right w:val="nil"/>
          <w:between w:val="nil"/>
        </w:pBdr>
        <w:tabs>
          <w:tab w:val="left" w:pos="940"/>
        </w:tabs>
        <w:spacing w:before="183"/>
        <w:rPr>
          <w:color w:val="000000"/>
        </w:rPr>
      </w:pPr>
      <w:r>
        <w:rPr>
          <w:color w:val="000000"/>
        </w:rPr>
        <w:t>Antecedentes Generales.</w:t>
      </w:r>
    </w:p>
    <w:p w:rsidR="009319EB" w:rsidRDefault="00B77151">
      <w:pPr>
        <w:numPr>
          <w:ilvl w:val="1"/>
          <w:numId w:val="6"/>
        </w:numPr>
        <w:pBdr>
          <w:top w:val="nil"/>
          <w:left w:val="nil"/>
          <w:bottom w:val="nil"/>
          <w:right w:val="nil"/>
          <w:between w:val="nil"/>
        </w:pBdr>
        <w:tabs>
          <w:tab w:val="left" w:pos="940"/>
        </w:tabs>
        <w:spacing w:before="21"/>
        <w:rPr>
          <w:color w:val="000000"/>
        </w:rPr>
      </w:pPr>
      <w:r>
        <w:rPr>
          <w:color w:val="000000"/>
        </w:rPr>
        <w:t>Tipo de Proyecto.</w:t>
      </w:r>
    </w:p>
    <w:p w:rsidR="009319EB" w:rsidRDefault="00B77151">
      <w:pPr>
        <w:numPr>
          <w:ilvl w:val="1"/>
          <w:numId w:val="6"/>
        </w:numPr>
        <w:pBdr>
          <w:top w:val="nil"/>
          <w:left w:val="nil"/>
          <w:bottom w:val="nil"/>
          <w:right w:val="nil"/>
          <w:between w:val="nil"/>
        </w:pBdr>
        <w:tabs>
          <w:tab w:val="left" w:pos="940"/>
        </w:tabs>
        <w:spacing w:before="25"/>
        <w:rPr>
          <w:color w:val="000000"/>
        </w:rPr>
      </w:pPr>
      <w:r>
        <w:rPr>
          <w:color w:val="000000"/>
        </w:rPr>
        <w:t>Breve descripción del Proyecto.</w:t>
      </w:r>
    </w:p>
    <w:p w:rsidR="009319EB" w:rsidRDefault="00B77151">
      <w:pPr>
        <w:numPr>
          <w:ilvl w:val="1"/>
          <w:numId w:val="6"/>
        </w:numPr>
        <w:pBdr>
          <w:top w:val="nil"/>
          <w:left w:val="nil"/>
          <w:bottom w:val="nil"/>
          <w:right w:val="nil"/>
          <w:between w:val="nil"/>
        </w:pBdr>
        <w:tabs>
          <w:tab w:val="left" w:pos="940"/>
        </w:tabs>
        <w:spacing w:before="20"/>
        <w:rPr>
          <w:color w:val="000000"/>
        </w:rPr>
      </w:pPr>
      <w:r>
        <w:rPr>
          <w:color w:val="000000"/>
        </w:rPr>
        <w:t>Beneficiarios del Proyecto.</w:t>
      </w:r>
    </w:p>
    <w:p w:rsidR="009319EB" w:rsidRDefault="00B77151">
      <w:pPr>
        <w:numPr>
          <w:ilvl w:val="1"/>
          <w:numId w:val="6"/>
        </w:numPr>
        <w:pBdr>
          <w:top w:val="nil"/>
          <w:left w:val="nil"/>
          <w:bottom w:val="nil"/>
          <w:right w:val="nil"/>
          <w:between w:val="nil"/>
        </w:pBdr>
        <w:tabs>
          <w:tab w:val="left" w:pos="940"/>
        </w:tabs>
        <w:spacing w:before="20"/>
        <w:rPr>
          <w:color w:val="000000"/>
        </w:rPr>
      </w:pPr>
      <w:r>
        <w:rPr>
          <w:color w:val="000000"/>
        </w:rPr>
        <w:t>Presupuesto.</w:t>
      </w:r>
    </w:p>
    <w:p w:rsidR="009319EB" w:rsidRDefault="00B77151">
      <w:pPr>
        <w:numPr>
          <w:ilvl w:val="1"/>
          <w:numId w:val="6"/>
        </w:numPr>
        <w:pBdr>
          <w:top w:val="nil"/>
          <w:left w:val="nil"/>
          <w:bottom w:val="nil"/>
          <w:right w:val="nil"/>
          <w:between w:val="nil"/>
        </w:pBdr>
        <w:tabs>
          <w:tab w:val="left" w:pos="940"/>
        </w:tabs>
        <w:spacing w:before="21"/>
        <w:rPr>
          <w:color w:val="000000"/>
        </w:rPr>
      </w:pPr>
      <w:r>
        <w:rPr>
          <w:color w:val="000000"/>
        </w:rPr>
        <w:t>Financiamiento.</w:t>
      </w:r>
    </w:p>
    <w:p w:rsidR="009319EB" w:rsidRDefault="00B77151">
      <w:pPr>
        <w:numPr>
          <w:ilvl w:val="1"/>
          <w:numId w:val="6"/>
        </w:numPr>
        <w:pBdr>
          <w:top w:val="nil"/>
          <w:left w:val="nil"/>
          <w:bottom w:val="nil"/>
          <w:right w:val="nil"/>
          <w:between w:val="nil"/>
        </w:pBdr>
        <w:tabs>
          <w:tab w:val="left" w:pos="940"/>
        </w:tabs>
        <w:spacing w:before="20"/>
        <w:rPr>
          <w:color w:val="000000"/>
        </w:rPr>
      </w:pPr>
      <w:r>
        <w:rPr>
          <w:color w:val="000000"/>
        </w:rPr>
        <w:t>Cronograma o Carta Gantt.</w:t>
      </w:r>
    </w:p>
    <w:p w:rsidR="009319EB" w:rsidRDefault="009319EB">
      <w:pPr>
        <w:pBdr>
          <w:top w:val="nil"/>
          <w:left w:val="nil"/>
          <w:bottom w:val="nil"/>
          <w:right w:val="nil"/>
          <w:between w:val="nil"/>
        </w:pBdr>
        <w:rPr>
          <w:color w:val="000000"/>
          <w:sz w:val="30"/>
          <w:szCs w:val="30"/>
        </w:rPr>
      </w:pPr>
    </w:p>
    <w:p w:rsidR="009319EB" w:rsidRDefault="009319EB">
      <w:pPr>
        <w:pBdr>
          <w:top w:val="nil"/>
          <w:left w:val="nil"/>
          <w:bottom w:val="nil"/>
          <w:right w:val="nil"/>
          <w:between w:val="nil"/>
        </w:pBdr>
        <w:spacing w:before="6"/>
        <w:rPr>
          <w:color w:val="000000"/>
          <w:sz w:val="32"/>
          <w:szCs w:val="32"/>
        </w:rPr>
      </w:pPr>
    </w:p>
    <w:p w:rsidR="009319EB" w:rsidRDefault="00B77151">
      <w:pPr>
        <w:pStyle w:val="Ttulo1"/>
        <w:numPr>
          <w:ilvl w:val="0"/>
          <w:numId w:val="3"/>
        </w:numPr>
        <w:tabs>
          <w:tab w:val="left" w:pos="800"/>
        </w:tabs>
        <w:spacing w:before="1"/>
        <w:ind w:left="799" w:hanging="220"/>
      </w:pPr>
      <w:r>
        <w:t>EVALUACIÓN Y SELECCIÓN</w:t>
      </w:r>
    </w:p>
    <w:p w:rsidR="009319EB" w:rsidRDefault="00B77151">
      <w:pPr>
        <w:numPr>
          <w:ilvl w:val="1"/>
          <w:numId w:val="3"/>
        </w:numPr>
        <w:pBdr>
          <w:top w:val="nil"/>
          <w:left w:val="nil"/>
          <w:bottom w:val="nil"/>
          <w:right w:val="nil"/>
          <w:between w:val="nil"/>
        </w:pBdr>
        <w:tabs>
          <w:tab w:val="left" w:pos="827"/>
        </w:tabs>
        <w:spacing w:before="177" w:line="261" w:lineRule="auto"/>
        <w:ind w:right="117" w:firstLine="360"/>
        <w:jc w:val="both"/>
        <w:rPr>
          <w:color w:val="000000"/>
        </w:rPr>
      </w:pPr>
      <w:r>
        <w:rPr>
          <w:color w:val="000000"/>
        </w:rPr>
        <w:t xml:space="preserve">Aquellos proyectos que no cumplan con las especificaciones impuestas en los puntos siguientes, no serán incluidos en la evaluación. Dichos </w:t>
      </w:r>
      <w:r>
        <w:rPr>
          <w:b/>
          <w:color w:val="000000"/>
        </w:rPr>
        <w:t xml:space="preserve">criterios de selección y elegibilidad </w:t>
      </w:r>
      <w:r>
        <w:rPr>
          <w:color w:val="000000"/>
        </w:rPr>
        <w:t>de los proyectos serán los siguientes:</w:t>
      </w:r>
    </w:p>
    <w:p w:rsidR="009319EB" w:rsidRDefault="009319EB">
      <w:pPr>
        <w:pBdr>
          <w:top w:val="nil"/>
          <w:left w:val="nil"/>
          <w:bottom w:val="nil"/>
          <w:right w:val="nil"/>
          <w:between w:val="nil"/>
        </w:pBdr>
        <w:spacing w:before="11"/>
        <w:rPr>
          <w:color w:val="000000"/>
          <w:sz w:val="12"/>
          <w:szCs w:val="12"/>
        </w:rPr>
      </w:pPr>
    </w:p>
    <w:tbl>
      <w:tblPr>
        <w:tblStyle w:val="a"/>
        <w:tblW w:w="8829" w:type="dxa"/>
        <w:tblInd w:w="126" w:type="dxa"/>
        <w:tblBorders>
          <w:top w:val="nil"/>
          <w:left w:val="nil"/>
          <w:bottom w:val="nil"/>
          <w:right w:val="nil"/>
          <w:insideH w:val="nil"/>
          <w:insideV w:val="nil"/>
        </w:tblBorders>
        <w:tblLayout w:type="fixed"/>
        <w:tblLook w:val="0000" w:firstRow="0" w:lastRow="0" w:firstColumn="0" w:lastColumn="0" w:noHBand="0" w:noVBand="0"/>
      </w:tblPr>
      <w:tblGrid>
        <w:gridCol w:w="1582"/>
        <w:gridCol w:w="5126"/>
        <w:gridCol w:w="2121"/>
      </w:tblGrid>
      <w:tr w:rsidR="009319EB">
        <w:trPr>
          <w:trHeight w:val="273"/>
        </w:trPr>
        <w:tc>
          <w:tcPr>
            <w:tcW w:w="1582" w:type="dxa"/>
            <w:tcBorders>
              <w:top w:val="single" w:sz="4" w:space="0" w:color="000000"/>
              <w:left w:val="single" w:sz="4" w:space="0" w:color="000000"/>
              <w:bottom w:val="single" w:sz="4" w:space="0" w:color="000000"/>
            </w:tcBorders>
          </w:tcPr>
          <w:p w:rsidR="009319EB" w:rsidRDefault="00B77151">
            <w:pPr>
              <w:pBdr>
                <w:top w:val="nil"/>
                <w:left w:val="nil"/>
                <w:bottom w:val="nil"/>
                <w:right w:val="nil"/>
                <w:between w:val="nil"/>
              </w:pBdr>
              <w:spacing w:before="6" w:line="246" w:lineRule="auto"/>
              <w:ind w:right="341"/>
              <w:jc w:val="right"/>
              <w:rPr>
                <w:color w:val="000000"/>
              </w:rPr>
            </w:pPr>
            <w:r>
              <w:rPr>
                <w:color w:val="000000"/>
              </w:rPr>
              <w:t>Ponderación</w:t>
            </w:r>
          </w:p>
        </w:tc>
        <w:tc>
          <w:tcPr>
            <w:tcW w:w="5126" w:type="dxa"/>
            <w:tcBorders>
              <w:top w:val="single" w:sz="4" w:space="0" w:color="000000"/>
              <w:bottom w:val="single" w:sz="4" w:space="0" w:color="000000"/>
            </w:tcBorders>
          </w:tcPr>
          <w:p w:rsidR="009319EB" w:rsidRDefault="00B77151">
            <w:pPr>
              <w:pBdr>
                <w:top w:val="nil"/>
                <w:left w:val="nil"/>
                <w:bottom w:val="nil"/>
                <w:right w:val="nil"/>
                <w:between w:val="nil"/>
              </w:pBdr>
              <w:spacing w:before="6" w:line="246" w:lineRule="auto"/>
              <w:ind w:left="352"/>
              <w:rPr>
                <w:color w:val="000000"/>
              </w:rPr>
            </w:pPr>
            <w:r>
              <w:rPr>
                <w:color w:val="000000"/>
              </w:rPr>
              <w:t>Criterio</w:t>
            </w:r>
          </w:p>
        </w:tc>
        <w:tc>
          <w:tcPr>
            <w:tcW w:w="2121" w:type="dxa"/>
            <w:tcBorders>
              <w:top w:val="single" w:sz="4" w:space="0" w:color="000000"/>
              <w:bottom w:val="single" w:sz="4" w:space="0" w:color="000000"/>
              <w:right w:val="single" w:sz="4" w:space="0" w:color="000000"/>
            </w:tcBorders>
          </w:tcPr>
          <w:p w:rsidR="009319EB" w:rsidRDefault="00B77151">
            <w:pPr>
              <w:pBdr>
                <w:top w:val="nil"/>
                <w:left w:val="nil"/>
                <w:bottom w:val="nil"/>
                <w:right w:val="nil"/>
                <w:between w:val="nil"/>
              </w:pBdr>
              <w:spacing w:before="6" w:line="246" w:lineRule="auto"/>
              <w:ind w:left="1019"/>
              <w:rPr>
                <w:color w:val="000000"/>
              </w:rPr>
            </w:pPr>
            <w:r>
              <w:rPr>
                <w:color w:val="000000"/>
              </w:rPr>
              <w:t>Puntaje</w:t>
            </w:r>
          </w:p>
        </w:tc>
      </w:tr>
      <w:tr w:rsidR="009319EB">
        <w:trPr>
          <w:trHeight w:val="358"/>
        </w:trPr>
        <w:tc>
          <w:tcPr>
            <w:tcW w:w="1582" w:type="dxa"/>
            <w:tcBorders>
              <w:top w:val="single" w:sz="4" w:space="0" w:color="000000"/>
            </w:tcBorders>
          </w:tcPr>
          <w:p w:rsidR="009319EB" w:rsidRDefault="009319EB">
            <w:pPr>
              <w:pBdr>
                <w:top w:val="nil"/>
                <w:left w:val="nil"/>
                <w:bottom w:val="nil"/>
                <w:right w:val="nil"/>
                <w:between w:val="nil"/>
              </w:pBdr>
              <w:spacing w:before="1"/>
              <w:ind w:right="385"/>
              <w:jc w:val="right"/>
            </w:pPr>
          </w:p>
          <w:p w:rsidR="009319EB" w:rsidRDefault="00B77151">
            <w:pPr>
              <w:pBdr>
                <w:top w:val="nil"/>
                <w:left w:val="nil"/>
                <w:bottom w:val="nil"/>
                <w:right w:val="nil"/>
                <w:between w:val="nil"/>
              </w:pBdr>
              <w:spacing w:before="1"/>
              <w:ind w:right="385"/>
              <w:jc w:val="right"/>
              <w:rPr>
                <w:color w:val="000000"/>
              </w:rPr>
            </w:pPr>
            <w:r>
              <w:rPr>
                <w:color w:val="000000"/>
              </w:rPr>
              <w:t>2</w:t>
            </w:r>
            <w:r>
              <w:t>0</w:t>
            </w:r>
            <w:r>
              <w:rPr>
                <w:color w:val="000000"/>
              </w:rPr>
              <w:t>%</w:t>
            </w:r>
          </w:p>
        </w:tc>
        <w:tc>
          <w:tcPr>
            <w:tcW w:w="5126" w:type="dxa"/>
            <w:tcBorders>
              <w:top w:val="single" w:sz="4" w:space="0" w:color="000000"/>
            </w:tcBorders>
          </w:tcPr>
          <w:p w:rsidR="009319EB" w:rsidRDefault="009319EB">
            <w:pPr>
              <w:pBdr>
                <w:top w:val="nil"/>
                <w:left w:val="nil"/>
                <w:bottom w:val="nil"/>
                <w:right w:val="nil"/>
                <w:between w:val="nil"/>
              </w:pBdr>
              <w:spacing w:before="1"/>
              <w:ind w:left="683"/>
              <w:jc w:val="both"/>
            </w:pPr>
          </w:p>
          <w:p w:rsidR="009319EB" w:rsidRDefault="00B77151">
            <w:pPr>
              <w:pBdr>
                <w:top w:val="nil"/>
                <w:left w:val="nil"/>
                <w:bottom w:val="nil"/>
                <w:right w:val="nil"/>
                <w:between w:val="nil"/>
              </w:pBdr>
              <w:spacing w:before="1"/>
              <w:ind w:left="683"/>
              <w:jc w:val="both"/>
              <w:rPr>
                <w:color w:val="000000"/>
              </w:rPr>
            </w:pPr>
            <w:r>
              <w:rPr>
                <w:color w:val="000000"/>
              </w:rPr>
              <w:t>Carácter innovador</w:t>
            </w:r>
          </w:p>
        </w:tc>
        <w:tc>
          <w:tcPr>
            <w:tcW w:w="2121" w:type="dxa"/>
            <w:tcBorders>
              <w:top w:val="single" w:sz="4" w:space="0" w:color="000000"/>
            </w:tcBorders>
          </w:tcPr>
          <w:p w:rsidR="009319EB" w:rsidRDefault="009319EB">
            <w:pPr>
              <w:pBdr>
                <w:top w:val="nil"/>
                <w:left w:val="nil"/>
                <w:bottom w:val="nil"/>
                <w:right w:val="nil"/>
                <w:between w:val="nil"/>
              </w:pBdr>
              <w:rPr>
                <w:rFonts w:ascii="Times New Roman" w:eastAsia="Times New Roman" w:hAnsi="Times New Roman" w:cs="Times New Roman"/>
                <w:color w:val="000000"/>
              </w:rPr>
            </w:pPr>
          </w:p>
        </w:tc>
      </w:tr>
      <w:tr w:rsidR="009319EB">
        <w:trPr>
          <w:trHeight w:val="1653"/>
        </w:trPr>
        <w:tc>
          <w:tcPr>
            <w:tcW w:w="1582" w:type="dxa"/>
          </w:tcPr>
          <w:p w:rsidR="009319EB" w:rsidRDefault="00B77151">
            <w:pPr>
              <w:pBdr>
                <w:top w:val="nil"/>
                <w:left w:val="nil"/>
                <w:bottom w:val="nil"/>
                <w:right w:val="nil"/>
                <w:between w:val="nil"/>
              </w:pBdr>
              <w:spacing w:before="89" w:line="249" w:lineRule="auto"/>
              <w:ind w:right="385"/>
              <w:jc w:val="right"/>
              <w:rPr>
                <w:color w:val="000000"/>
              </w:rPr>
            </w:pPr>
            <w:r>
              <w:rPr>
                <w:color w:val="000000"/>
              </w:rPr>
              <w:t>2</w:t>
            </w:r>
            <w:r>
              <w:t>0</w:t>
            </w:r>
            <w:r>
              <w:rPr>
                <w:color w:val="000000"/>
              </w:rPr>
              <w:t>%</w:t>
            </w:r>
          </w:p>
        </w:tc>
        <w:tc>
          <w:tcPr>
            <w:tcW w:w="5126" w:type="dxa"/>
          </w:tcPr>
          <w:p w:rsidR="009319EB" w:rsidRDefault="00B77151">
            <w:pPr>
              <w:pBdr>
                <w:top w:val="nil"/>
                <w:left w:val="nil"/>
                <w:bottom w:val="nil"/>
                <w:right w:val="nil"/>
                <w:between w:val="nil"/>
              </w:pBdr>
              <w:spacing w:before="89" w:line="249" w:lineRule="auto"/>
              <w:ind w:left="683"/>
              <w:jc w:val="both"/>
              <w:rPr>
                <w:color w:val="000000"/>
              </w:rPr>
            </w:pPr>
            <w:r>
              <w:rPr>
                <w:color w:val="000000"/>
              </w:rPr>
              <w:t>Alto número de beneficiarios por nivel, esto es</w:t>
            </w:r>
            <w:r>
              <w:t>, si responde a una necesidad de la mayoría de la comunidad, si beneficia e impacta a gran parte de ella.</w:t>
            </w:r>
          </w:p>
        </w:tc>
        <w:tc>
          <w:tcPr>
            <w:tcW w:w="2121" w:type="dxa"/>
          </w:tcPr>
          <w:p w:rsidR="009319EB" w:rsidRDefault="009319EB">
            <w:pPr>
              <w:pBdr>
                <w:top w:val="nil"/>
                <w:left w:val="nil"/>
                <w:bottom w:val="nil"/>
                <w:right w:val="nil"/>
                <w:between w:val="nil"/>
              </w:pBdr>
              <w:rPr>
                <w:rFonts w:ascii="Times New Roman" w:eastAsia="Times New Roman" w:hAnsi="Times New Roman" w:cs="Times New Roman"/>
                <w:color w:val="000000"/>
              </w:rPr>
            </w:pPr>
          </w:p>
        </w:tc>
      </w:tr>
    </w:tbl>
    <w:p w:rsidR="009319EB" w:rsidRDefault="009319EB">
      <w:pPr>
        <w:rPr>
          <w:rFonts w:ascii="Times New Roman" w:eastAsia="Times New Roman" w:hAnsi="Times New Roman" w:cs="Times New Roman"/>
        </w:rPr>
        <w:sectPr w:rsidR="009319EB">
          <w:pgSz w:w="12240" w:h="15840"/>
          <w:pgMar w:top="2140" w:right="960" w:bottom="940" w:left="860" w:header="1050" w:footer="750" w:gutter="0"/>
          <w:cols w:space="720"/>
        </w:sectPr>
      </w:pPr>
    </w:p>
    <w:p w:rsidR="009319EB" w:rsidRDefault="009319EB">
      <w:pPr>
        <w:pBdr>
          <w:top w:val="nil"/>
          <w:left w:val="nil"/>
          <w:bottom w:val="nil"/>
          <w:right w:val="nil"/>
          <w:between w:val="nil"/>
        </w:pBdr>
        <w:spacing w:before="2"/>
        <w:rPr>
          <w:color w:val="000000"/>
          <w:sz w:val="29"/>
          <w:szCs w:val="29"/>
        </w:rPr>
      </w:pPr>
    </w:p>
    <w:tbl>
      <w:tblPr>
        <w:tblStyle w:val="a0"/>
        <w:tblW w:w="8197" w:type="dxa"/>
        <w:tblInd w:w="885" w:type="dxa"/>
        <w:tblBorders>
          <w:top w:val="nil"/>
          <w:left w:val="nil"/>
          <w:bottom w:val="nil"/>
          <w:right w:val="nil"/>
          <w:insideH w:val="nil"/>
          <w:insideV w:val="nil"/>
        </w:tblBorders>
        <w:tblLayout w:type="fixed"/>
        <w:tblLook w:val="0000" w:firstRow="0" w:lastRow="0" w:firstColumn="0" w:lastColumn="0" w:noHBand="0" w:noVBand="0"/>
      </w:tblPr>
      <w:tblGrid>
        <w:gridCol w:w="945"/>
        <w:gridCol w:w="7252"/>
      </w:tblGrid>
      <w:tr w:rsidR="009319EB">
        <w:trPr>
          <w:trHeight w:val="357"/>
        </w:trPr>
        <w:tc>
          <w:tcPr>
            <w:tcW w:w="945" w:type="dxa"/>
          </w:tcPr>
          <w:p w:rsidR="009319EB" w:rsidRDefault="00B77151">
            <w:pPr>
              <w:pBdr>
                <w:top w:val="nil"/>
                <w:left w:val="nil"/>
                <w:bottom w:val="nil"/>
                <w:right w:val="nil"/>
                <w:between w:val="nil"/>
              </w:pBdr>
              <w:ind w:left="50"/>
              <w:rPr>
                <w:color w:val="000000"/>
              </w:rPr>
            </w:pPr>
            <w:r>
              <w:t>10</w:t>
            </w:r>
            <w:r>
              <w:rPr>
                <w:color w:val="000000"/>
              </w:rPr>
              <w:t>%</w:t>
            </w:r>
          </w:p>
        </w:tc>
        <w:tc>
          <w:tcPr>
            <w:tcW w:w="7252" w:type="dxa"/>
          </w:tcPr>
          <w:p w:rsidR="009319EB" w:rsidRDefault="00B77151">
            <w:pPr>
              <w:pBdr>
                <w:top w:val="nil"/>
                <w:left w:val="nil"/>
                <w:bottom w:val="nil"/>
                <w:right w:val="nil"/>
                <w:between w:val="nil"/>
              </w:pBdr>
              <w:ind w:left="515"/>
              <w:rPr>
                <w:color w:val="000000"/>
              </w:rPr>
            </w:pPr>
            <w:r>
              <w:rPr>
                <w:color w:val="000000"/>
              </w:rPr>
              <w:t>Coherencia con los ejes temáticos propuestos</w:t>
            </w:r>
          </w:p>
        </w:tc>
      </w:tr>
      <w:tr w:rsidR="009319EB">
        <w:trPr>
          <w:trHeight w:val="448"/>
        </w:trPr>
        <w:tc>
          <w:tcPr>
            <w:tcW w:w="945" w:type="dxa"/>
          </w:tcPr>
          <w:p w:rsidR="009319EB" w:rsidRDefault="00B77151">
            <w:pPr>
              <w:pBdr>
                <w:top w:val="nil"/>
                <w:left w:val="nil"/>
                <w:bottom w:val="nil"/>
                <w:right w:val="nil"/>
                <w:between w:val="nil"/>
              </w:pBdr>
              <w:spacing w:before="89"/>
              <w:ind w:left="50"/>
              <w:rPr>
                <w:color w:val="000000"/>
              </w:rPr>
            </w:pPr>
            <w:r>
              <w:rPr>
                <w:color w:val="000000"/>
              </w:rPr>
              <w:t>10%</w:t>
            </w:r>
          </w:p>
        </w:tc>
        <w:tc>
          <w:tcPr>
            <w:tcW w:w="7252" w:type="dxa"/>
          </w:tcPr>
          <w:p w:rsidR="009319EB" w:rsidRDefault="00B77151">
            <w:pPr>
              <w:pBdr>
                <w:top w:val="nil"/>
                <w:left w:val="nil"/>
                <w:bottom w:val="nil"/>
                <w:right w:val="nil"/>
                <w:between w:val="nil"/>
              </w:pBdr>
              <w:spacing w:before="89"/>
              <w:ind w:left="557"/>
              <w:rPr>
                <w:color w:val="000000"/>
              </w:rPr>
            </w:pPr>
            <w:r>
              <w:rPr>
                <w:color w:val="000000"/>
              </w:rPr>
              <w:t>Alto número de estamentos de la comunidad y PPAA involucrados en su realización</w:t>
            </w:r>
          </w:p>
        </w:tc>
      </w:tr>
      <w:tr w:rsidR="009319EB">
        <w:trPr>
          <w:trHeight w:val="451"/>
        </w:trPr>
        <w:tc>
          <w:tcPr>
            <w:tcW w:w="945" w:type="dxa"/>
          </w:tcPr>
          <w:p w:rsidR="009319EB" w:rsidRDefault="00B77151">
            <w:pPr>
              <w:pBdr>
                <w:top w:val="nil"/>
                <w:left w:val="nil"/>
                <w:bottom w:val="nil"/>
                <w:right w:val="nil"/>
                <w:between w:val="nil"/>
              </w:pBdr>
              <w:spacing w:before="91"/>
              <w:ind w:left="50"/>
              <w:rPr>
                <w:color w:val="000000"/>
              </w:rPr>
            </w:pPr>
            <w:r>
              <w:rPr>
                <w:color w:val="000000"/>
              </w:rPr>
              <w:t>10%</w:t>
            </w:r>
          </w:p>
        </w:tc>
        <w:tc>
          <w:tcPr>
            <w:tcW w:w="7252" w:type="dxa"/>
          </w:tcPr>
          <w:p w:rsidR="009319EB" w:rsidRDefault="00B77151">
            <w:pPr>
              <w:pBdr>
                <w:top w:val="nil"/>
                <w:left w:val="nil"/>
                <w:bottom w:val="nil"/>
                <w:right w:val="nil"/>
                <w:between w:val="nil"/>
              </w:pBdr>
              <w:spacing w:before="91"/>
              <w:ind w:left="515"/>
              <w:rPr>
                <w:color w:val="000000"/>
              </w:rPr>
            </w:pPr>
            <w:r>
              <w:rPr>
                <w:color w:val="000000"/>
              </w:rPr>
              <w:t>Proyección a futuro, si constituye aporte permanente para la comunidad</w:t>
            </w:r>
          </w:p>
        </w:tc>
      </w:tr>
      <w:tr w:rsidR="009319EB">
        <w:trPr>
          <w:trHeight w:val="360"/>
        </w:trPr>
        <w:tc>
          <w:tcPr>
            <w:tcW w:w="945" w:type="dxa"/>
          </w:tcPr>
          <w:p w:rsidR="009319EB" w:rsidRDefault="00B77151">
            <w:pPr>
              <w:pBdr>
                <w:top w:val="nil"/>
                <w:left w:val="nil"/>
                <w:bottom w:val="nil"/>
                <w:right w:val="nil"/>
                <w:between w:val="nil"/>
              </w:pBdr>
              <w:spacing w:before="91" w:line="249" w:lineRule="auto"/>
              <w:ind w:left="50"/>
              <w:rPr>
                <w:color w:val="000000"/>
              </w:rPr>
            </w:pPr>
            <w:r>
              <w:rPr>
                <w:color w:val="000000"/>
              </w:rPr>
              <w:t>10%</w:t>
            </w:r>
          </w:p>
          <w:p w:rsidR="009319EB" w:rsidRDefault="00B77151">
            <w:pPr>
              <w:pBdr>
                <w:top w:val="nil"/>
                <w:left w:val="nil"/>
                <w:bottom w:val="nil"/>
                <w:right w:val="nil"/>
                <w:between w:val="nil"/>
              </w:pBdr>
              <w:spacing w:before="91" w:line="249" w:lineRule="auto"/>
              <w:ind w:left="50"/>
            </w:pPr>
            <w:r>
              <w:t>10%</w:t>
            </w:r>
          </w:p>
          <w:p w:rsidR="009319EB" w:rsidRDefault="00B77151">
            <w:pPr>
              <w:pBdr>
                <w:top w:val="nil"/>
                <w:left w:val="nil"/>
                <w:bottom w:val="nil"/>
                <w:right w:val="nil"/>
                <w:between w:val="nil"/>
              </w:pBdr>
              <w:spacing w:before="91" w:line="249" w:lineRule="auto"/>
              <w:ind w:left="50"/>
            </w:pPr>
            <w:r>
              <w:t>10%</w:t>
            </w:r>
          </w:p>
        </w:tc>
        <w:tc>
          <w:tcPr>
            <w:tcW w:w="7252" w:type="dxa"/>
          </w:tcPr>
          <w:p w:rsidR="009319EB" w:rsidRDefault="00B77151">
            <w:pPr>
              <w:pBdr>
                <w:top w:val="nil"/>
                <w:left w:val="nil"/>
                <w:bottom w:val="nil"/>
                <w:right w:val="nil"/>
                <w:between w:val="nil"/>
              </w:pBdr>
              <w:spacing w:before="91" w:line="249" w:lineRule="auto"/>
              <w:ind w:left="557"/>
            </w:pPr>
            <w:r>
              <w:rPr>
                <w:color w:val="000000"/>
              </w:rPr>
              <w:t>Aporte propio de dinero o gestión para el aporte, que sea autosustentable</w:t>
            </w:r>
          </w:p>
          <w:p w:rsidR="009319EB" w:rsidRDefault="00B77151">
            <w:pPr>
              <w:pBdr>
                <w:top w:val="nil"/>
                <w:left w:val="nil"/>
                <w:bottom w:val="nil"/>
                <w:right w:val="nil"/>
                <w:between w:val="nil"/>
              </w:pBdr>
              <w:spacing w:before="91" w:line="249" w:lineRule="auto"/>
              <w:ind w:left="557"/>
            </w:pPr>
            <w:r>
              <w:t xml:space="preserve">Claridad en la presentación del proyecto a la Comisión Evaluadora </w:t>
            </w:r>
          </w:p>
          <w:p w:rsidR="009319EB" w:rsidRDefault="00B77151">
            <w:pPr>
              <w:pBdr>
                <w:top w:val="nil"/>
                <w:left w:val="nil"/>
                <w:bottom w:val="nil"/>
                <w:right w:val="nil"/>
                <w:between w:val="nil"/>
              </w:pBdr>
              <w:spacing w:before="91" w:line="249" w:lineRule="auto"/>
              <w:ind w:left="557"/>
            </w:pPr>
            <w:r>
              <w:t xml:space="preserve">Viabilidad del proyecto, esto tiene relación con la facilidad para ser ejecutado (por ejemplo: tiempo, mano de obra, autorizaciones requeridas, </w:t>
            </w:r>
            <w:proofErr w:type="spellStart"/>
            <w:r>
              <w:t>etc</w:t>
            </w:r>
            <w:proofErr w:type="spellEnd"/>
            <w:r>
              <w:t>)</w:t>
            </w:r>
          </w:p>
          <w:p w:rsidR="009319EB" w:rsidRDefault="009319EB">
            <w:pPr>
              <w:spacing w:before="91" w:line="249" w:lineRule="auto"/>
              <w:ind w:left="557"/>
            </w:pPr>
          </w:p>
          <w:p w:rsidR="009319EB" w:rsidRDefault="009319EB">
            <w:pPr>
              <w:pBdr>
                <w:top w:val="nil"/>
                <w:left w:val="nil"/>
                <w:bottom w:val="nil"/>
                <w:right w:val="nil"/>
                <w:between w:val="nil"/>
              </w:pBdr>
              <w:spacing w:before="91" w:line="249" w:lineRule="auto"/>
            </w:pPr>
          </w:p>
        </w:tc>
      </w:tr>
    </w:tbl>
    <w:p w:rsidR="009319EB" w:rsidRDefault="00B77151">
      <w:pPr>
        <w:pBdr>
          <w:top w:val="nil"/>
          <w:left w:val="nil"/>
          <w:bottom w:val="nil"/>
          <w:right w:val="nil"/>
          <w:between w:val="nil"/>
        </w:pBdr>
        <w:spacing w:before="101"/>
        <w:rPr>
          <w:color w:val="000000"/>
        </w:rPr>
      </w:pPr>
      <w:r>
        <w:rPr>
          <w:sz w:val="6"/>
          <w:szCs w:val="6"/>
        </w:rPr>
        <w:t xml:space="preserve">                                   </w:t>
      </w:r>
      <w:r>
        <w:rPr>
          <w:color w:val="000000"/>
        </w:rPr>
        <w:t>La asignación de puntajes será la siguiente:</w:t>
      </w:r>
    </w:p>
    <w:p w:rsidR="009319EB" w:rsidRDefault="00B77151">
      <w:pPr>
        <w:numPr>
          <w:ilvl w:val="1"/>
          <w:numId w:val="6"/>
        </w:numPr>
        <w:pBdr>
          <w:top w:val="nil"/>
          <w:left w:val="nil"/>
          <w:bottom w:val="nil"/>
          <w:right w:val="nil"/>
          <w:between w:val="nil"/>
        </w:pBdr>
        <w:tabs>
          <w:tab w:val="left" w:pos="940"/>
        </w:tabs>
        <w:spacing w:before="179"/>
        <w:rPr>
          <w:color w:val="000000"/>
        </w:rPr>
      </w:pPr>
      <w:r>
        <w:rPr>
          <w:color w:val="000000"/>
        </w:rPr>
        <w:t>0 punto: No se cumple el criterio establecido.</w:t>
      </w:r>
    </w:p>
    <w:p w:rsidR="009319EB" w:rsidRDefault="00B77151">
      <w:pPr>
        <w:numPr>
          <w:ilvl w:val="1"/>
          <w:numId w:val="6"/>
        </w:numPr>
        <w:pBdr>
          <w:top w:val="nil"/>
          <w:left w:val="nil"/>
          <w:bottom w:val="nil"/>
          <w:right w:val="nil"/>
          <w:between w:val="nil"/>
        </w:pBdr>
        <w:tabs>
          <w:tab w:val="left" w:pos="940"/>
        </w:tabs>
        <w:spacing w:before="20"/>
        <w:rPr>
          <w:color w:val="000000"/>
        </w:rPr>
      </w:pPr>
      <w:r>
        <w:rPr>
          <w:color w:val="000000"/>
        </w:rPr>
        <w:t>1 punto: El criterio establecido se cumple parcialmente o con observaciones.</w:t>
      </w:r>
    </w:p>
    <w:p w:rsidR="009319EB" w:rsidRDefault="00B77151">
      <w:pPr>
        <w:numPr>
          <w:ilvl w:val="1"/>
          <w:numId w:val="6"/>
        </w:numPr>
        <w:pBdr>
          <w:top w:val="nil"/>
          <w:left w:val="nil"/>
          <w:bottom w:val="nil"/>
          <w:right w:val="nil"/>
          <w:between w:val="nil"/>
        </w:pBdr>
        <w:tabs>
          <w:tab w:val="left" w:pos="940"/>
        </w:tabs>
        <w:spacing w:before="25"/>
        <w:rPr>
          <w:color w:val="000000"/>
        </w:rPr>
      </w:pPr>
      <w:r>
        <w:rPr>
          <w:color w:val="000000"/>
        </w:rPr>
        <w:t>2 puntos: El criterio establecido se cumple a entera satisfacción.</w:t>
      </w:r>
    </w:p>
    <w:p w:rsidR="009319EB" w:rsidRDefault="009319EB">
      <w:pPr>
        <w:pBdr>
          <w:top w:val="nil"/>
          <w:left w:val="nil"/>
          <w:bottom w:val="nil"/>
          <w:right w:val="nil"/>
          <w:between w:val="nil"/>
        </w:pBdr>
        <w:spacing w:before="2"/>
        <w:rPr>
          <w:color w:val="000000"/>
          <w:sz w:val="25"/>
          <w:szCs w:val="25"/>
        </w:rPr>
      </w:pPr>
    </w:p>
    <w:p w:rsidR="009319EB" w:rsidRDefault="00B77151">
      <w:pPr>
        <w:numPr>
          <w:ilvl w:val="1"/>
          <w:numId w:val="3"/>
        </w:numPr>
        <w:pBdr>
          <w:top w:val="nil"/>
          <w:left w:val="nil"/>
          <w:bottom w:val="nil"/>
          <w:right w:val="nil"/>
          <w:between w:val="nil"/>
        </w:pBdr>
        <w:tabs>
          <w:tab w:val="left" w:pos="1179"/>
        </w:tabs>
        <w:spacing w:line="261" w:lineRule="auto"/>
        <w:ind w:right="117" w:firstLine="720"/>
        <w:rPr>
          <w:color w:val="000000"/>
        </w:rPr>
      </w:pPr>
      <w:r>
        <w:rPr>
          <w:color w:val="000000"/>
        </w:rPr>
        <w:t xml:space="preserve">Los proyectos serán evaluados y seleccionados por una </w:t>
      </w:r>
      <w:r>
        <w:rPr>
          <w:b/>
          <w:color w:val="000000"/>
        </w:rPr>
        <w:t>Comisión Evaluadora</w:t>
      </w:r>
      <w:r>
        <w:rPr>
          <w:color w:val="000000"/>
        </w:rPr>
        <w:t>, cuya composición será la siguiente:</w:t>
      </w:r>
    </w:p>
    <w:p w:rsidR="009319EB" w:rsidRDefault="00B77151">
      <w:pPr>
        <w:numPr>
          <w:ilvl w:val="0"/>
          <w:numId w:val="5"/>
        </w:numPr>
        <w:pBdr>
          <w:top w:val="nil"/>
          <w:left w:val="nil"/>
          <w:bottom w:val="nil"/>
          <w:right w:val="nil"/>
          <w:between w:val="nil"/>
        </w:pBdr>
        <w:tabs>
          <w:tab w:val="left" w:pos="940"/>
        </w:tabs>
        <w:spacing w:before="25"/>
        <w:rPr>
          <w:color w:val="000000"/>
        </w:rPr>
      </w:pPr>
      <w:r>
        <w:rPr>
          <w:color w:val="000000"/>
        </w:rPr>
        <w:t>Dos representantes definidos por la Vicerrectoría Académica y de Formación.</w:t>
      </w:r>
    </w:p>
    <w:p w:rsidR="009319EB" w:rsidRDefault="00B77151">
      <w:pPr>
        <w:numPr>
          <w:ilvl w:val="0"/>
          <w:numId w:val="5"/>
        </w:numPr>
        <w:pBdr>
          <w:top w:val="nil"/>
          <w:left w:val="nil"/>
          <w:bottom w:val="nil"/>
          <w:right w:val="nil"/>
          <w:between w:val="nil"/>
        </w:pBdr>
        <w:tabs>
          <w:tab w:val="left" w:pos="940"/>
        </w:tabs>
        <w:spacing w:before="20"/>
        <w:rPr>
          <w:color w:val="000000"/>
        </w:rPr>
      </w:pPr>
      <w:r>
        <w:rPr>
          <w:color w:val="000000"/>
        </w:rPr>
        <w:t>Dos representantes de la Comisión Académica del Centro de Padres</w:t>
      </w:r>
    </w:p>
    <w:p w:rsidR="009319EB" w:rsidRDefault="00B77151">
      <w:pPr>
        <w:numPr>
          <w:ilvl w:val="0"/>
          <w:numId w:val="5"/>
        </w:numPr>
        <w:pBdr>
          <w:top w:val="nil"/>
          <w:left w:val="nil"/>
          <w:bottom w:val="nil"/>
          <w:right w:val="nil"/>
          <w:between w:val="nil"/>
        </w:pBdr>
        <w:tabs>
          <w:tab w:val="left" w:pos="940"/>
        </w:tabs>
        <w:spacing w:before="21"/>
        <w:rPr>
          <w:color w:val="000000"/>
        </w:rPr>
      </w:pPr>
      <w:r>
        <w:rPr>
          <w:color w:val="000000"/>
        </w:rPr>
        <w:t>El presidente del CPP, quien tendrá el voto decisivo en caso de empate</w:t>
      </w:r>
      <w:r>
        <w:t>.</w:t>
      </w:r>
    </w:p>
    <w:p w:rsidR="009319EB" w:rsidRDefault="009319EB">
      <w:pPr>
        <w:pBdr>
          <w:top w:val="nil"/>
          <w:left w:val="nil"/>
          <w:bottom w:val="nil"/>
          <w:right w:val="nil"/>
          <w:between w:val="nil"/>
        </w:pBdr>
        <w:spacing w:before="6"/>
        <w:rPr>
          <w:color w:val="000000"/>
          <w:sz w:val="38"/>
          <w:szCs w:val="38"/>
        </w:rPr>
      </w:pPr>
    </w:p>
    <w:p w:rsidR="009319EB" w:rsidRDefault="00B77151">
      <w:pPr>
        <w:pStyle w:val="Ttulo1"/>
        <w:ind w:left="927"/>
      </w:pPr>
      <w:r>
        <w:t>9.- DIFUSIÓN</w:t>
      </w:r>
    </w:p>
    <w:p w:rsidR="009319EB" w:rsidRDefault="00B77151">
      <w:pPr>
        <w:pBdr>
          <w:top w:val="nil"/>
          <w:left w:val="nil"/>
          <w:bottom w:val="nil"/>
          <w:right w:val="nil"/>
          <w:between w:val="nil"/>
        </w:pBdr>
        <w:spacing w:before="183" w:line="256" w:lineRule="auto"/>
        <w:ind w:left="220" w:firstLine="247"/>
        <w:rPr>
          <w:color w:val="000000"/>
        </w:rPr>
      </w:pPr>
      <w:r>
        <w:rPr>
          <w:color w:val="000000"/>
        </w:rPr>
        <w:t>El CPP definirá cuál será la estrategia de difusión de los mismos, en sus canales de comunicación, cuidando de dar las mismas oportunidades a todos los proyectos aceptados.</w:t>
      </w:r>
    </w:p>
    <w:p w:rsidR="009319EB" w:rsidRDefault="009319EB">
      <w:pPr>
        <w:pBdr>
          <w:top w:val="nil"/>
          <w:left w:val="nil"/>
          <w:bottom w:val="nil"/>
          <w:right w:val="nil"/>
          <w:between w:val="nil"/>
        </w:pBdr>
        <w:spacing w:before="165" w:line="256" w:lineRule="auto"/>
        <w:ind w:left="220" w:right="55" w:firstLine="197"/>
        <w:rPr>
          <w:color w:val="FF0000"/>
        </w:rPr>
      </w:pPr>
    </w:p>
    <w:p w:rsidR="009319EB" w:rsidRDefault="00B77151">
      <w:pPr>
        <w:pStyle w:val="Ttulo1"/>
        <w:spacing w:before="164"/>
        <w:ind w:left="927"/>
      </w:pPr>
      <w:r>
        <w:t>10.- PUBLICACIÓN DE RESULTADOS</w:t>
      </w:r>
    </w:p>
    <w:p w:rsidR="009319EB" w:rsidRDefault="00B77151">
      <w:pPr>
        <w:pBdr>
          <w:top w:val="nil"/>
          <w:left w:val="nil"/>
          <w:bottom w:val="nil"/>
          <w:right w:val="nil"/>
          <w:between w:val="nil"/>
        </w:pBdr>
        <w:spacing w:before="178" w:line="261" w:lineRule="auto"/>
        <w:ind w:left="220" w:firstLine="197"/>
        <w:rPr>
          <w:color w:val="000000"/>
        </w:rPr>
      </w:pPr>
      <w:r>
        <w:rPr>
          <w:color w:val="000000"/>
        </w:rPr>
        <w:t xml:space="preserve">La Comisión Evaluadora elegirá </w:t>
      </w:r>
      <w:r>
        <w:t>máximo 3</w:t>
      </w:r>
      <w:r>
        <w:rPr>
          <w:color w:val="000000"/>
        </w:rPr>
        <w:t xml:space="preserve"> (tres</w:t>
      </w:r>
      <w:r>
        <w:t xml:space="preserve">) </w:t>
      </w:r>
      <w:r>
        <w:rPr>
          <w:color w:val="000000"/>
        </w:rPr>
        <w:t xml:space="preserve">proyectos entre aquellos que cumplan con los requisitos y sean elegibles, o un número menor en caso de que no </w:t>
      </w:r>
      <w:proofErr w:type="gramStart"/>
      <w:r>
        <w:rPr>
          <w:color w:val="000000"/>
        </w:rPr>
        <w:t>hayan</w:t>
      </w:r>
      <w:proofErr w:type="gramEnd"/>
      <w:r>
        <w:rPr>
          <w:color w:val="000000"/>
        </w:rPr>
        <w:t xml:space="preserve"> suficientes proyectos elegibles.</w:t>
      </w:r>
    </w:p>
    <w:p w:rsidR="009319EB" w:rsidRDefault="00B77151">
      <w:pPr>
        <w:pBdr>
          <w:top w:val="nil"/>
          <w:left w:val="nil"/>
          <w:bottom w:val="nil"/>
          <w:right w:val="nil"/>
          <w:between w:val="nil"/>
        </w:pBdr>
        <w:spacing w:before="154" w:line="261" w:lineRule="auto"/>
        <w:ind w:left="220" w:firstLine="247"/>
        <w:rPr>
          <w:color w:val="000000"/>
        </w:rPr>
      </w:pPr>
      <w:r>
        <w:rPr>
          <w:color w:val="000000"/>
        </w:rPr>
        <w:t>Los resultados de las postulaciones se informarán directamente a cada responsable de los proyectos postulantes, y posteriormente serán publicados en los medios de comunicación del CPP.</w:t>
      </w:r>
    </w:p>
    <w:p w:rsidR="009319EB" w:rsidRDefault="009319EB">
      <w:pPr>
        <w:pStyle w:val="Ttulo1"/>
        <w:spacing w:before="158"/>
        <w:ind w:firstLine="940"/>
      </w:pPr>
    </w:p>
    <w:p w:rsidR="009319EB" w:rsidRDefault="009319EB">
      <w:pPr>
        <w:pStyle w:val="Ttulo1"/>
        <w:spacing w:before="158"/>
        <w:ind w:firstLine="940"/>
      </w:pPr>
    </w:p>
    <w:p w:rsidR="009319EB" w:rsidRDefault="009319EB">
      <w:pPr>
        <w:pStyle w:val="Ttulo1"/>
        <w:spacing w:before="158"/>
        <w:ind w:firstLine="940"/>
      </w:pPr>
    </w:p>
    <w:p w:rsidR="009319EB" w:rsidRDefault="009319EB">
      <w:pPr>
        <w:pStyle w:val="Ttulo1"/>
        <w:spacing w:before="158"/>
        <w:ind w:firstLine="940"/>
      </w:pPr>
    </w:p>
    <w:p w:rsidR="009319EB" w:rsidRDefault="00B77151">
      <w:pPr>
        <w:pStyle w:val="Ttulo1"/>
        <w:spacing w:before="158"/>
        <w:ind w:firstLine="940"/>
      </w:pPr>
      <w:r>
        <w:t>11. EJECUCIÓN, INFORMES Y POSIBLES MODIFICACIONES</w:t>
      </w:r>
    </w:p>
    <w:p w:rsidR="009319EB" w:rsidRDefault="00B77151">
      <w:pPr>
        <w:numPr>
          <w:ilvl w:val="0"/>
          <w:numId w:val="4"/>
        </w:numPr>
        <w:pBdr>
          <w:top w:val="nil"/>
          <w:left w:val="nil"/>
          <w:bottom w:val="nil"/>
          <w:right w:val="nil"/>
          <w:between w:val="nil"/>
        </w:pBdr>
        <w:tabs>
          <w:tab w:val="left" w:pos="940"/>
        </w:tabs>
        <w:spacing w:before="178" w:line="261" w:lineRule="auto"/>
        <w:ind w:right="119"/>
        <w:rPr>
          <w:color w:val="000000"/>
        </w:rPr>
      </w:pPr>
      <w:r>
        <w:rPr>
          <w:color w:val="000000"/>
        </w:rPr>
        <w:t xml:space="preserve">El representante de cada proyecto ganador, deberá fijar de común acuerdo, con </w:t>
      </w:r>
      <w:r>
        <w:t xml:space="preserve">el encargado de su proyecto </w:t>
      </w:r>
      <w:r>
        <w:rPr>
          <w:color w:val="000000"/>
        </w:rPr>
        <w:t>del CPP, las fechas de inicio de la ejecución</w:t>
      </w:r>
      <w:r>
        <w:t xml:space="preserve">, </w:t>
      </w:r>
      <w:r>
        <w:rPr>
          <w:color w:val="000000"/>
        </w:rPr>
        <w:t>informes de avance y</w:t>
      </w:r>
      <w:r>
        <w:t xml:space="preserve"> </w:t>
      </w:r>
      <w:r>
        <w:rPr>
          <w:color w:val="000000"/>
        </w:rPr>
        <w:t>final.</w:t>
      </w:r>
    </w:p>
    <w:p w:rsidR="009319EB" w:rsidRDefault="00B77151">
      <w:pPr>
        <w:numPr>
          <w:ilvl w:val="0"/>
          <w:numId w:val="4"/>
        </w:numPr>
        <w:pBdr>
          <w:top w:val="nil"/>
          <w:left w:val="nil"/>
          <w:bottom w:val="nil"/>
          <w:right w:val="nil"/>
          <w:between w:val="nil"/>
        </w:pBdr>
        <w:tabs>
          <w:tab w:val="left" w:pos="940"/>
        </w:tabs>
        <w:spacing w:line="264" w:lineRule="auto"/>
        <w:rPr>
          <w:color w:val="000000"/>
        </w:rPr>
      </w:pPr>
      <w:r>
        <w:rPr>
          <w:color w:val="000000"/>
        </w:rPr>
        <w:t>El representante del proyecto deberá presentar un informe de avance de este en las fechas fijadas de</w:t>
      </w:r>
    </w:p>
    <w:p w:rsidR="009319EB" w:rsidRDefault="00B77151">
      <w:pPr>
        <w:pBdr>
          <w:top w:val="nil"/>
          <w:left w:val="nil"/>
          <w:bottom w:val="nil"/>
          <w:right w:val="nil"/>
          <w:between w:val="nil"/>
        </w:pBdr>
        <w:spacing w:before="20"/>
        <w:ind w:left="940"/>
        <w:rPr>
          <w:color w:val="000000"/>
        </w:rPr>
      </w:pPr>
      <w:r>
        <w:rPr>
          <w:color w:val="000000"/>
        </w:rPr>
        <w:t xml:space="preserve">común acuerdo. </w:t>
      </w:r>
    </w:p>
    <w:p w:rsidR="009319EB" w:rsidRDefault="00B77151">
      <w:pPr>
        <w:numPr>
          <w:ilvl w:val="0"/>
          <w:numId w:val="4"/>
        </w:numPr>
        <w:tabs>
          <w:tab w:val="left" w:pos="940"/>
        </w:tabs>
        <w:spacing w:before="103" w:line="256" w:lineRule="auto"/>
        <w:ind w:right="117"/>
        <w:jc w:val="both"/>
      </w:pPr>
      <w:r>
        <w:t>La rendición de los fondos asignados deberá ser respaldada sólo con boletas de venta. Estas deberán ser presentadas en el formulario de rendición explicando claramente el detalle del gasto.</w:t>
      </w:r>
    </w:p>
    <w:p w:rsidR="009319EB" w:rsidRDefault="00B77151">
      <w:pPr>
        <w:numPr>
          <w:ilvl w:val="0"/>
          <w:numId w:val="4"/>
        </w:numPr>
        <w:tabs>
          <w:tab w:val="left" w:pos="940"/>
        </w:tabs>
        <w:spacing w:line="275" w:lineRule="auto"/>
        <w:jc w:val="both"/>
      </w:pPr>
      <w:r>
        <w:t xml:space="preserve">En caso de que la ejecución del proyecto al que se le asigne el </w:t>
      </w:r>
      <w:proofErr w:type="spellStart"/>
      <w:proofErr w:type="gramStart"/>
      <w:r>
        <w:t>fondo,se</w:t>
      </w:r>
      <w:proofErr w:type="spellEnd"/>
      <w:proofErr w:type="gramEnd"/>
      <w:r>
        <w:t xml:space="preserve"> retrase o se suspenda, deberá</w:t>
      </w:r>
    </w:p>
    <w:p w:rsidR="009319EB" w:rsidRDefault="00B77151">
      <w:pPr>
        <w:spacing w:before="20"/>
        <w:ind w:left="940"/>
        <w:jc w:val="both"/>
      </w:pPr>
      <w:r>
        <w:t>darse a conocer por escrito el motivo, quedando sin efecto la asignación de los recursos.</w:t>
      </w:r>
    </w:p>
    <w:p w:rsidR="009319EB" w:rsidRDefault="00B77151">
      <w:pPr>
        <w:numPr>
          <w:ilvl w:val="0"/>
          <w:numId w:val="4"/>
        </w:numPr>
        <w:tabs>
          <w:tab w:val="left" w:pos="940"/>
        </w:tabs>
        <w:spacing w:before="24" w:line="256" w:lineRule="auto"/>
        <w:ind w:right="117"/>
        <w:jc w:val="both"/>
      </w:pPr>
      <w:r>
        <w:t>Los recursos asignados no podrán ser usados para otros fines que no tengan exclusiva relación y cumplimiento del proyecto aprobado.</w:t>
      </w:r>
    </w:p>
    <w:p w:rsidR="009319EB" w:rsidRDefault="00B77151">
      <w:pPr>
        <w:numPr>
          <w:ilvl w:val="0"/>
          <w:numId w:val="4"/>
        </w:numPr>
        <w:tabs>
          <w:tab w:val="left" w:pos="940"/>
        </w:tabs>
        <w:spacing w:line="261" w:lineRule="auto"/>
        <w:jc w:val="both"/>
      </w:pPr>
      <w:r>
        <w:t>Se deberá́ entregar un informe final que incluya: rendición de cuentas del uso del fondo y resumen de la</w:t>
      </w:r>
    </w:p>
    <w:p w:rsidR="009319EB" w:rsidRDefault="00B77151">
      <w:pPr>
        <w:spacing w:line="256" w:lineRule="auto"/>
        <w:ind w:left="940" w:right="118"/>
        <w:jc w:val="both"/>
      </w:pPr>
      <w:r>
        <w:t>ejecución del proyecto, el cual deberá ́ contener una evaluación de la implementación del proyecto, del logro de los objetivos y de los resultados.</w:t>
      </w:r>
    </w:p>
    <w:p w:rsidR="009319EB" w:rsidRDefault="009319EB">
      <w:pPr>
        <w:spacing w:line="256" w:lineRule="auto"/>
        <w:ind w:left="940" w:right="118"/>
        <w:jc w:val="both"/>
      </w:pPr>
    </w:p>
    <w:p w:rsidR="009319EB" w:rsidRDefault="00B77151">
      <w:pPr>
        <w:pStyle w:val="Ttulo1"/>
        <w:spacing w:before="156"/>
        <w:ind w:left="220"/>
      </w:pPr>
      <w:bookmarkStart w:id="3" w:name="_heading=h.kkta3tkk2xwa" w:colFirst="0" w:colLast="0"/>
      <w:bookmarkEnd w:id="3"/>
      <w:r>
        <w:t>11. CALENDARIO DE ACTIVIDADES FONDOS CONCURSABLES 2025</w:t>
      </w:r>
    </w:p>
    <w:p w:rsidR="009319EB" w:rsidRDefault="009319EB">
      <w:pPr>
        <w:rPr>
          <w:b/>
          <w:sz w:val="20"/>
          <w:szCs w:val="20"/>
        </w:rPr>
      </w:pPr>
    </w:p>
    <w:p w:rsidR="009319EB" w:rsidRDefault="009319EB">
      <w:pPr>
        <w:spacing w:before="6"/>
        <w:rPr>
          <w:b/>
          <w:sz w:val="16"/>
          <w:szCs w:val="16"/>
        </w:rPr>
      </w:pPr>
    </w:p>
    <w:tbl>
      <w:tblPr>
        <w:tblStyle w:val="a1"/>
        <w:tblW w:w="8976" w:type="dxa"/>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488"/>
        <w:gridCol w:w="4488"/>
      </w:tblGrid>
      <w:tr w:rsidR="009319EB">
        <w:trPr>
          <w:trHeight w:val="273"/>
        </w:trPr>
        <w:tc>
          <w:tcPr>
            <w:tcW w:w="4488" w:type="dxa"/>
          </w:tcPr>
          <w:p w:rsidR="009319EB" w:rsidRDefault="00B77151">
            <w:pPr>
              <w:tabs>
                <w:tab w:val="left" w:pos="1545"/>
              </w:tabs>
              <w:spacing w:before="6" w:line="246" w:lineRule="auto"/>
              <w:ind w:left="105"/>
              <w:rPr>
                <w:b/>
              </w:rPr>
            </w:pPr>
            <w:r>
              <w:rPr>
                <w:b/>
                <w:u w:val="single"/>
              </w:rPr>
              <w:t>ACTIVIDAD</w:t>
            </w:r>
            <w:r>
              <w:rPr>
                <w:b/>
                <w:u w:val="single"/>
              </w:rPr>
              <w:tab/>
            </w:r>
          </w:p>
        </w:tc>
        <w:tc>
          <w:tcPr>
            <w:tcW w:w="4488" w:type="dxa"/>
          </w:tcPr>
          <w:p w:rsidR="009319EB" w:rsidRDefault="00B77151">
            <w:pPr>
              <w:spacing w:before="6" w:line="246" w:lineRule="auto"/>
              <w:ind w:left="105"/>
              <w:rPr>
                <w:b/>
              </w:rPr>
            </w:pPr>
            <w:r>
              <w:rPr>
                <w:b/>
                <w:u w:val="single"/>
              </w:rPr>
              <w:t>FECHA</w:t>
            </w:r>
          </w:p>
        </w:tc>
      </w:tr>
      <w:tr w:rsidR="009319EB">
        <w:trPr>
          <w:trHeight w:val="268"/>
        </w:trPr>
        <w:tc>
          <w:tcPr>
            <w:tcW w:w="4488" w:type="dxa"/>
          </w:tcPr>
          <w:p w:rsidR="009319EB" w:rsidRDefault="00B77151">
            <w:pPr>
              <w:spacing w:before="1" w:line="246" w:lineRule="auto"/>
              <w:ind w:left="105"/>
            </w:pPr>
            <w:r>
              <w:t>Publicación de bases y difusión</w:t>
            </w:r>
          </w:p>
        </w:tc>
        <w:tc>
          <w:tcPr>
            <w:tcW w:w="4488" w:type="dxa"/>
          </w:tcPr>
          <w:p w:rsidR="009319EB" w:rsidRDefault="00E128A4">
            <w:pPr>
              <w:spacing w:before="1" w:line="246" w:lineRule="auto"/>
              <w:ind w:left="105"/>
            </w:pPr>
            <w:r>
              <w:t xml:space="preserve"> 5</w:t>
            </w:r>
            <w:r w:rsidR="00B77151">
              <w:t xml:space="preserve">   de mayo de 2025</w:t>
            </w:r>
          </w:p>
        </w:tc>
      </w:tr>
      <w:tr w:rsidR="009319EB">
        <w:trPr>
          <w:trHeight w:val="268"/>
        </w:trPr>
        <w:tc>
          <w:tcPr>
            <w:tcW w:w="4488" w:type="dxa"/>
          </w:tcPr>
          <w:p w:rsidR="009319EB" w:rsidRDefault="00B77151">
            <w:pPr>
              <w:spacing w:before="1" w:line="246" w:lineRule="auto"/>
              <w:ind w:left="105"/>
            </w:pPr>
            <w:r>
              <w:t>Dudas y aclaraciones.</w:t>
            </w:r>
          </w:p>
        </w:tc>
        <w:tc>
          <w:tcPr>
            <w:tcW w:w="4488" w:type="dxa"/>
          </w:tcPr>
          <w:p w:rsidR="009319EB" w:rsidRDefault="00B77151">
            <w:pPr>
              <w:spacing w:before="1" w:line="246" w:lineRule="auto"/>
              <w:ind w:left="105"/>
            </w:pPr>
            <w:r>
              <w:t xml:space="preserve">Hasta el </w:t>
            </w:r>
            <w:r w:rsidR="00E128A4">
              <w:t xml:space="preserve">Lunes 23 </w:t>
            </w:r>
            <w:r>
              <w:t>de mayo de 2025</w:t>
            </w:r>
          </w:p>
        </w:tc>
      </w:tr>
      <w:tr w:rsidR="009319EB">
        <w:trPr>
          <w:trHeight w:val="268"/>
        </w:trPr>
        <w:tc>
          <w:tcPr>
            <w:tcW w:w="4488" w:type="dxa"/>
          </w:tcPr>
          <w:p w:rsidR="009319EB" w:rsidRDefault="00B77151">
            <w:pPr>
              <w:spacing w:before="1" w:line="246" w:lineRule="auto"/>
              <w:ind w:left="105"/>
            </w:pPr>
            <w:r>
              <w:t>Recepción de Proyectos (entrega vía mail)</w:t>
            </w:r>
          </w:p>
        </w:tc>
        <w:tc>
          <w:tcPr>
            <w:tcW w:w="4488" w:type="dxa"/>
          </w:tcPr>
          <w:p w:rsidR="009319EB" w:rsidRDefault="00E128A4">
            <w:pPr>
              <w:spacing w:before="1" w:line="246" w:lineRule="auto"/>
              <w:ind w:left="105"/>
            </w:pPr>
            <w:r>
              <w:t>Hasta las 23:59 del 27</w:t>
            </w:r>
            <w:r w:rsidR="00B77151">
              <w:t xml:space="preserve"> de mayo de 2025</w:t>
            </w:r>
          </w:p>
        </w:tc>
      </w:tr>
      <w:tr w:rsidR="009319EB">
        <w:trPr>
          <w:trHeight w:val="262"/>
        </w:trPr>
        <w:tc>
          <w:tcPr>
            <w:tcW w:w="4488" w:type="dxa"/>
          </w:tcPr>
          <w:p w:rsidR="009319EB" w:rsidRDefault="00B77151">
            <w:pPr>
              <w:spacing w:before="1" w:line="246" w:lineRule="auto"/>
              <w:ind w:left="105"/>
            </w:pPr>
            <w:r>
              <w:t>Aviso de proyectos preseleccionados</w:t>
            </w:r>
          </w:p>
        </w:tc>
        <w:tc>
          <w:tcPr>
            <w:tcW w:w="4488" w:type="dxa"/>
          </w:tcPr>
          <w:p w:rsidR="009319EB" w:rsidRDefault="00E128A4">
            <w:pPr>
              <w:spacing w:before="1" w:line="246" w:lineRule="auto"/>
              <w:ind w:left="105"/>
            </w:pPr>
            <w:r>
              <w:t xml:space="preserve">29 </w:t>
            </w:r>
            <w:bookmarkStart w:id="4" w:name="_GoBack"/>
            <w:bookmarkEnd w:id="4"/>
            <w:r w:rsidR="00B77151">
              <w:t>de mayo de 2025 vía mail</w:t>
            </w:r>
          </w:p>
        </w:tc>
      </w:tr>
      <w:tr w:rsidR="009319EB">
        <w:trPr>
          <w:trHeight w:val="268"/>
        </w:trPr>
        <w:tc>
          <w:tcPr>
            <w:tcW w:w="4488" w:type="dxa"/>
          </w:tcPr>
          <w:p w:rsidR="009319EB" w:rsidRDefault="00B77151">
            <w:pPr>
              <w:spacing w:before="1" w:line="246" w:lineRule="auto"/>
              <w:ind w:left="105"/>
            </w:pPr>
            <w:r>
              <w:t>Presentación de proyectos a Comisión</w:t>
            </w:r>
          </w:p>
        </w:tc>
        <w:tc>
          <w:tcPr>
            <w:tcW w:w="4488" w:type="dxa"/>
          </w:tcPr>
          <w:p w:rsidR="009319EB" w:rsidRDefault="005E6B00">
            <w:pPr>
              <w:spacing w:before="1" w:line="246" w:lineRule="auto"/>
              <w:ind w:left="105"/>
            </w:pPr>
            <w:r>
              <w:t xml:space="preserve">Lunes 2 de Junio 2025 entre 8:00 y 10:00 </w:t>
            </w:r>
            <w:r w:rsidR="00B77151">
              <w:t>presencial</w:t>
            </w:r>
          </w:p>
        </w:tc>
      </w:tr>
      <w:tr w:rsidR="009319EB">
        <w:trPr>
          <w:trHeight w:val="537"/>
        </w:trPr>
        <w:tc>
          <w:tcPr>
            <w:tcW w:w="4488" w:type="dxa"/>
          </w:tcPr>
          <w:p w:rsidR="009319EB" w:rsidRDefault="00B77151">
            <w:pPr>
              <w:spacing w:line="246" w:lineRule="auto"/>
              <w:ind w:left="105" w:right="690"/>
            </w:pPr>
            <w:r>
              <w:t>Evaluación de Proyectos y publicación de resultados</w:t>
            </w:r>
          </w:p>
        </w:tc>
        <w:tc>
          <w:tcPr>
            <w:tcW w:w="4488" w:type="dxa"/>
          </w:tcPr>
          <w:p w:rsidR="009319EB" w:rsidRDefault="005E6B00" w:rsidP="005E6B00">
            <w:pPr>
              <w:spacing w:before="1"/>
            </w:pPr>
            <w:r>
              <w:t xml:space="preserve">Lunes 10 </w:t>
            </w:r>
            <w:r w:rsidR="00B77151">
              <w:t>de junio 2025</w:t>
            </w:r>
          </w:p>
        </w:tc>
      </w:tr>
      <w:tr w:rsidR="009319EB">
        <w:trPr>
          <w:trHeight w:val="265"/>
        </w:trPr>
        <w:tc>
          <w:tcPr>
            <w:tcW w:w="4488" w:type="dxa"/>
          </w:tcPr>
          <w:p w:rsidR="009319EB" w:rsidRDefault="00B77151">
            <w:pPr>
              <w:spacing w:line="246" w:lineRule="auto"/>
              <w:ind w:left="105"/>
            </w:pPr>
            <w:r>
              <w:t>Implementación proyectos</w:t>
            </w:r>
          </w:p>
        </w:tc>
        <w:tc>
          <w:tcPr>
            <w:tcW w:w="4488" w:type="dxa"/>
          </w:tcPr>
          <w:p w:rsidR="009319EB" w:rsidRDefault="005E6B00">
            <w:pPr>
              <w:spacing w:line="246" w:lineRule="auto"/>
              <w:ind w:left="105"/>
            </w:pPr>
            <w:r>
              <w:t>Hasta el 29</w:t>
            </w:r>
            <w:r w:rsidR="00B77151">
              <w:t xml:space="preserve"> de noviembre de 2025</w:t>
            </w:r>
          </w:p>
        </w:tc>
      </w:tr>
    </w:tbl>
    <w:p w:rsidR="009319EB" w:rsidRDefault="009319EB">
      <w:pPr>
        <w:spacing w:line="276" w:lineRule="auto"/>
        <w:sectPr w:rsidR="009319EB">
          <w:pgSz w:w="12240" w:h="15840"/>
          <w:pgMar w:top="2140" w:right="960" w:bottom="940" w:left="860" w:header="1050" w:footer="750" w:gutter="0"/>
          <w:cols w:space="720"/>
        </w:sectPr>
      </w:pPr>
    </w:p>
    <w:p w:rsidR="009319EB" w:rsidRDefault="009319EB">
      <w:pPr>
        <w:pBdr>
          <w:top w:val="nil"/>
          <w:left w:val="nil"/>
          <w:bottom w:val="nil"/>
          <w:right w:val="nil"/>
          <w:between w:val="nil"/>
        </w:pBdr>
        <w:spacing w:line="276" w:lineRule="auto"/>
        <w:rPr>
          <w:color w:val="000000"/>
        </w:rPr>
      </w:pPr>
    </w:p>
    <w:sectPr w:rsidR="009319EB">
      <w:pgSz w:w="12240" w:h="15840"/>
      <w:pgMar w:top="2140" w:right="960" w:bottom="940" w:left="860" w:header="1050" w:footer="75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74A1" w:rsidRDefault="00B274A1">
      <w:r>
        <w:separator/>
      </w:r>
    </w:p>
  </w:endnote>
  <w:endnote w:type="continuationSeparator" w:id="0">
    <w:p w:rsidR="00B274A1" w:rsidRDefault="00B274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Quattrocento San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9EB" w:rsidRDefault="00B77151">
    <w:pPr>
      <w:pBdr>
        <w:top w:val="nil"/>
        <w:left w:val="nil"/>
        <w:bottom w:val="nil"/>
        <w:right w:val="nil"/>
        <w:between w:val="nil"/>
      </w:pBdr>
      <w:spacing w:line="14" w:lineRule="auto"/>
      <w:rPr>
        <w:color w:val="000000"/>
        <w:sz w:val="20"/>
        <w:szCs w:val="20"/>
      </w:rPr>
    </w:pPr>
    <w:r>
      <w:rPr>
        <w:noProof/>
        <w:lang w:val="es-CL" w:eastAsia="es-CL"/>
      </w:rPr>
      <mc:AlternateContent>
        <mc:Choice Requires="wpg">
          <w:drawing>
            <wp:anchor distT="0" distB="0" distL="114300" distR="114300" simplePos="0" relativeHeight="251659264" behindDoc="1" locked="0" layoutInCell="1" hidden="0" allowOverlap="1">
              <wp:simplePos x="0" y="0"/>
              <wp:positionH relativeFrom="column">
                <wp:posOffset>3213100</wp:posOffset>
              </wp:positionH>
              <wp:positionV relativeFrom="paragraph">
                <wp:posOffset>9436100</wp:posOffset>
              </wp:positionV>
              <wp:extent cx="497205" cy="191770"/>
              <wp:effectExtent l="0" t="0" r="0" b="0"/>
              <wp:wrapNone/>
              <wp:docPr id="2" name="Forma libre 2"/>
              <wp:cNvGraphicFramePr/>
              <a:graphic xmlns:a="http://schemas.openxmlformats.org/drawingml/2006/main">
                <a:graphicData uri="http://schemas.microsoft.com/office/word/2010/wordprocessingShape">
                  <wps:wsp>
                    <wps:cNvSpPr/>
                    <wps:spPr>
                      <a:xfrm>
                        <a:off x="5648260" y="3688878"/>
                        <a:ext cx="487680" cy="182245"/>
                      </a:xfrm>
                      <a:custGeom>
                        <a:avLst/>
                        <a:gdLst/>
                        <a:ahLst/>
                        <a:cxnLst/>
                        <a:rect l="l" t="t" r="r" b="b"/>
                        <a:pathLst>
                          <a:path w="487680" h="182245" extrusionOk="0">
                            <a:moveTo>
                              <a:pt x="0" y="0"/>
                            </a:moveTo>
                            <a:lnTo>
                              <a:pt x="0" y="182245"/>
                            </a:lnTo>
                            <a:lnTo>
                              <a:pt x="487680" y="182245"/>
                            </a:lnTo>
                            <a:lnTo>
                              <a:pt x="487680" y="0"/>
                            </a:lnTo>
                            <a:close/>
                          </a:path>
                        </a:pathLst>
                      </a:custGeom>
                      <a:solidFill>
                        <a:srgbClr val="FFFFFF"/>
                      </a:solidFill>
                      <a:ln>
                        <a:noFill/>
                      </a:ln>
                    </wps:spPr>
                    <wps:txbx>
                      <w:txbxContent>
                        <w:p w:rsidR="009319EB" w:rsidRDefault="00B77151">
                          <w:pPr>
                            <w:spacing w:before="20"/>
                            <w:ind w:left="20" w:firstLine="20"/>
                            <w:textDirection w:val="btLr"/>
                          </w:pPr>
                          <w:proofErr w:type="gramStart"/>
                          <w:r>
                            <w:rPr>
                              <w:color w:val="4472C4"/>
                              <w:sz w:val="20"/>
                            </w:rPr>
                            <w:t>Página  PAGE</w:t>
                          </w:r>
                          <w:proofErr w:type="gramEnd"/>
                          <w:r>
                            <w:rPr>
                              <w:color w:val="4472C4"/>
                              <w:sz w:val="20"/>
                            </w:rPr>
                            <w:t xml:space="preserve"> </w:t>
                          </w:r>
                          <w:r>
                            <w:rPr>
                              <w:color w:val="000000"/>
                            </w:rPr>
                            <w:t>1</w:t>
                          </w:r>
                        </w:p>
                      </w:txbxContent>
                    </wps:txbx>
                    <wps:bodyPr spcFirstLastPara="1" wrap="square" lIns="88900" tIns="38100" rIns="88900" bIns="38100" anchor="t"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http://schemas.microsoft.com/office/word/2018/wordml" xmlns:w16cex="http://schemas.microsoft.com/office/word/2018/wordml/cex" xmlns:w16cid="http://schemas.microsoft.com/office/word/2016/wordml/cid" xmlns:cr="http://schemas.microsoft.com/office/comments/2020/reactions">
          <w:drawing>
            <wp:anchor allowOverlap="1" behindDoc="1" distB="0" distT="0" distL="114300" distR="114300" hidden="0" layoutInCell="1" locked="0" relativeHeight="0" simplePos="0">
              <wp:simplePos x="0" y="0"/>
              <wp:positionH relativeFrom="column">
                <wp:posOffset>3213100</wp:posOffset>
              </wp:positionH>
              <wp:positionV relativeFrom="paragraph">
                <wp:posOffset>9436100</wp:posOffset>
              </wp:positionV>
              <wp:extent cx="497205" cy="191770"/>
              <wp:effectExtent b="0" l="0" r="0" t="0"/>
              <wp:wrapNone/>
              <wp:docPr id="2"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497205" cy="19177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74A1" w:rsidRDefault="00B274A1">
      <w:r>
        <w:separator/>
      </w:r>
    </w:p>
  </w:footnote>
  <w:footnote w:type="continuationSeparator" w:id="0">
    <w:p w:rsidR="00B274A1" w:rsidRDefault="00B274A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9EB" w:rsidRDefault="00B77151">
    <w:pPr>
      <w:pBdr>
        <w:top w:val="nil"/>
        <w:left w:val="nil"/>
        <w:bottom w:val="nil"/>
        <w:right w:val="nil"/>
        <w:between w:val="nil"/>
      </w:pBdr>
      <w:spacing w:line="14" w:lineRule="auto"/>
      <w:rPr>
        <w:color w:val="000000"/>
        <w:sz w:val="20"/>
        <w:szCs w:val="20"/>
      </w:rPr>
    </w:pPr>
    <w:r>
      <w:rPr>
        <w:noProof/>
        <w:color w:val="000000"/>
        <w:lang w:val="es-CL" w:eastAsia="es-CL"/>
      </w:rPr>
      <w:drawing>
        <wp:anchor distT="0" distB="0" distL="0" distR="0" simplePos="0" relativeHeight="251658240" behindDoc="1" locked="0" layoutInCell="1" hidden="0" allowOverlap="1">
          <wp:simplePos x="0" y="0"/>
          <wp:positionH relativeFrom="page">
            <wp:posOffset>6380076</wp:posOffset>
          </wp:positionH>
          <wp:positionV relativeFrom="page">
            <wp:posOffset>666474</wp:posOffset>
          </wp:positionV>
          <wp:extent cx="648614" cy="702087"/>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48614" cy="702087"/>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444893"/>
    <w:multiLevelType w:val="multilevel"/>
    <w:tmpl w:val="05502296"/>
    <w:lvl w:ilvl="0">
      <w:start w:val="1"/>
      <w:numFmt w:val="upperLetter"/>
      <w:lvlText w:val="%1."/>
      <w:lvlJc w:val="left"/>
      <w:pPr>
        <w:ind w:left="940" w:hanging="360"/>
      </w:pPr>
      <w:rPr>
        <w:rFonts w:ascii="Calibri" w:eastAsia="Calibri" w:hAnsi="Calibri" w:cs="Calibri"/>
        <w:sz w:val="22"/>
        <w:szCs w:val="22"/>
      </w:rPr>
    </w:lvl>
    <w:lvl w:ilvl="1">
      <w:numFmt w:val="bullet"/>
      <w:lvlText w:val="•"/>
      <w:lvlJc w:val="left"/>
      <w:pPr>
        <w:ind w:left="1888" w:hanging="360"/>
      </w:pPr>
    </w:lvl>
    <w:lvl w:ilvl="2">
      <w:numFmt w:val="bullet"/>
      <w:lvlText w:val="•"/>
      <w:lvlJc w:val="left"/>
      <w:pPr>
        <w:ind w:left="2836" w:hanging="360"/>
      </w:pPr>
    </w:lvl>
    <w:lvl w:ilvl="3">
      <w:numFmt w:val="bullet"/>
      <w:lvlText w:val="•"/>
      <w:lvlJc w:val="left"/>
      <w:pPr>
        <w:ind w:left="3784" w:hanging="360"/>
      </w:pPr>
    </w:lvl>
    <w:lvl w:ilvl="4">
      <w:numFmt w:val="bullet"/>
      <w:lvlText w:val="•"/>
      <w:lvlJc w:val="left"/>
      <w:pPr>
        <w:ind w:left="4732" w:hanging="360"/>
      </w:pPr>
    </w:lvl>
    <w:lvl w:ilvl="5">
      <w:numFmt w:val="bullet"/>
      <w:lvlText w:val="•"/>
      <w:lvlJc w:val="left"/>
      <w:pPr>
        <w:ind w:left="5680" w:hanging="360"/>
      </w:pPr>
    </w:lvl>
    <w:lvl w:ilvl="6">
      <w:numFmt w:val="bullet"/>
      <w:lvlText w:val="•"/>
      <w:lvlJc w:val="left"/>
      <w:pPr>
        <w:ind w:left="6628" w:hanging="360"/>
      </w:pPr>
    </w:lvl>
    <w:lvl w:ilvl="7">
      <w:numFmt w:val="bullet"/>
      <w:lvlText w:val="•"/>
      <w:lvlJc w:val="left"/>
      <w:pPr>
        <w:ind w:left="7576" w:hanging="360"/>
      </w:pPr>
    </w:lvl>
    <w:lvl w:ilvl="8">
      <w:numFmt w:val="bullet"/>
      <w:lvlText w:val="•"/>
      <w:lvlJc w:val="left"/>
      <w:pPr>
        <w:ind w:left="8524" w:hanging="360"/>
      </w:pPr>
    </w:lvl>
  </w:abstractNum>
  <w:abstractNum w:abstractNumId="1" w15:restartNumberingAfterBreak="0">
    <w:nsid w:val="17E85F65"/>
    <w:multiLevelType w:val="multilevel"/>
    <w:tmpl w:val="E6A84E98"/>
    <w:lvl w:ilvl="0">
      <w:numFmt w:val="bullet"/>
      <w:lvlText w:val="✓"/>
      <w:lvlJc w:val="left"/>
      <w:pPr>
        <w:ind w:left="940" w:hanging="360"/>
      </w:pPr>
      <w:rPr>
        <w:rFonts w:ascii="Quattrocento Sans" w:eastAsia="Quattrocento Sans" w:hAnsi="Quattrocento Sans" w:cs="Quattrocento Sans"/>
        <w:sz w:val="22"/>
        <w:szCs w:val="22"/>
      </w:rPr>
    </w:lvl>
    <w:lvl w:ilvl="1">
      <w:numFmt w:val="bullet"/>
      <w:lvlText w:val="•"/>
      <w:lvlJc w:val="left"/>
      <w:pPr>
        <w:ind w:left="1888" w:hanging="360"/>
      </w:pPr>
    </w:lvl>
    <w:lvl w:ilvl="2">
      <w:numFmt w:val="bullet"/>
      <w:lvlText w:val="•"/>
      <w:lvlJc w:val="left"/>
      <w:pPr>
        <w:ind w:left="2836" w:hanging="360"/>
      </w:pPr>
    </w:lvl>
    <w:lvl w:ilvl="3">
      <w:numFmt w:val="bullet"/>
      <w:lvlText w:val="•"/>
      <w:lvlJc w:val="left"/>
      <w:pPr>
        <w:ind w:left="3784" w:hanging="360"/>
      </w:pPr>
    </w:lvl>
    <w:lvl w:ilvl="4">
      <w:numFmt w:val="bullet"/>
      <w:lvlText w:val="•"/>
      <w:lvlJc w:val="left"/>
      <w:pPr>
        <w:ind w:left="4732" w:hanging="360"/>
      </w:pPr>
    </w:lvl>
    <w:lvl w:ilvl="5">
      <w:numFmt w:val="bullet"/>
      <w:lvlText w:val="•"/>
      <w:lvlJc w:val="left"/>
      <w:pPr>
        <w:ind w:left="5680" w:hanging="360"/>
      </w:pPr>
    </w:lvl>
    <w:lvl w:ilvl="6">
      <w:numFmt w:val="bullet"/>
      <w:lvlText w:val="•"/>
      <w:lvlJc w:val="left"/>
      <w:pPr>
        <w:ind w:left="6628" w:hanging="360"/>
      </w:pPr>
    </w:lvl>
    <w:lvl w:ilvl="7">
      <w:numFmt w:val="bullet"/>
      <w:lvlText w:val="•"/>
      <w:lvlJc w:val="left"/>
      <w:pPr>
        <w:ind w:left="7576" w:hanging="360"/>
      </w:pPr>
    </w:lvl>
    <w:lvl w:ilvl="8">
      <w:numFmt w:val="bullet"/>
      <w:lvlText w:val="•"/>
      <w:lvlJc w:val="left"/>
      <w:pPr>
        <w:ind w:left="8524" w:hanging="360"/>
      </w:pPr>
    </w:lvl>
  </w:abstractNum>
  <w:abstractNum w:abstractNumId="2" w15:restartNumberingAfterBreak="0">
    <w:nsid w:val="1AB24CDE"/>
    <w:multiLevelType w:val="multilevel"/>
    <w:tmpl w:val="37BC9F68"/>
    <w:lvl w:ilvl="0">
      <w:numFmt w:val="bullet"/>
      <w:lvlText w:val="➢"/>
      <w:lvlJc w:val="left"/>
      <w:pPr>
        <w:ind w:left="940" w:hanging="360"/>
      </w:pPr>
      <w:rPr>
        <w:rFonts w:ascii="Quattrocento Sans" w:eastAsia="Quattrocento Sans" w:hAnsi="Quattrocento Sans" w:cs="Quattrocento Sans"/>
        <w:sz w:val="22"/>
        <w:szCs w:val="22"/>
      </w:rPr>
    </w:lvl>
    <w:lvl w:ilvl="1">
      <w:numFmt w:val="bullet"/>
      <w:lvlText w:val="•"/>
      <w:lvlJc w:val="left"/>
      <w:pPr>
        <w:ind w:left="1888" w:hanging="360"/>
      </w:pPr>
    </w:lvl>
    <w:lvl w:ilvl="2">
      <w:numFmt w:val="bullet"/>
      <w:lvlText w:val="•"/>
      <w:lvlJc w:val="left"/>
      <w:pPr>
        <w:ind w:left="2836" w:hanging="360"/>
      </w:pPr>
    </w:lvl>
    <w:lvl w:ilvl="3">
      <w:numFmt w:val="bullet"/>
      <w:lvlText w:val="•"/>
      <w:lvlJc w:val="left"/>
      <w:pPr>
        <w:ind w:left="3784" w:hanging="360"/>
      </w:pPr>
    </w:lvl>
    <w:lvl w:ilvl="4">
      <w:numFmt w:val="bullet"/>
      <w:lvlText w:val="•"/>
      <w:lvlJc w:val="left"/>
      <w:pPr>
        <w:ind w:left="4732" w:hanging="360"/>
      </w:pPr>
    </w:lvl>
    <w:lvl w:ilvl="5">
      <w:numFmt w:val="bullet"/>
      <w:lvlText w:val="•"/>
      <w:lvlJc w:val="left"/>
      <w:pPr>
        <w:ind w:left="5680" w:hanging="360"/>
      </w:pPr>
    </w:lvl>
    <w:lvl w:ilvl="6">
      <w:numFmt w:val="bullet"/>
      <w:lvlText w:val="•"/>
      <w:lvlJc w:val="left"/>
      <w:pPr>
        <w:ind w:left="6628" w:hanging="360"/>
      </w:pPr>
    </w:lvl>
    <w:lvl w:ilvl="7">
      <w:numFmt w:val="bullet"/>
      <w:lvlText w:val="•"/>
      <w:lvlJc w:val="left"/>
      <w:pPr>
        <w:ind w:left="7576" w:hanging="360"/>
      </w:pPr>
    </w:lvl>
    <w:lvl w:ilvl="8">
      <w:numFmt w:val="bullet"/>
      <w:lvlText w:val="•"/>
      <w:lvlJc w:val="left"/>
      <w:pPr>
        <w:ind w:left="8524" w:hanging="360"/>
      </w:pPr>
    </w:lvl>
  </w:abstractNum>
  <w:abstractNum w:abstractNumId="3" w15:restartNumberingAfterBreak="0">
    <w:nsid w:val="54A80486"/>
    <w:multiLevelType w:val="multilevel"/>
    <w:tmpl w:val="4AC28B08"/>
    <w:lvl w:ilvl="0">
      <w:start w:val="1"/>
      <w:numFmt w:val="upperLetter"/>
      <w:lvlText w:val="%1."/>
      <w:lvlJc w:val="left"/>
      <w:pPr>
        <w:ind w:left="220" w:hanging="250"/>
      </w:pPr>
      <w:rPr>
        <w:rFonts w:ascii="Calibri" w:eastAsia="Calibri" w:hAnsi="Calibri" w:cs="Calibri"/>
        <w:b/>
        <w:sz w:val="22"/>
        <w:szCs w:val="22"/>
      </w:rPr>
    </w:lvl>
    <w:lvl w:ilvl="1">
      <w:numFmt w:val="bullet"/>
      <w:lvlText w:val="➢"/>
      <w:lvlJc w:val="left"/>
      <w:pPr>
        <w:ind w:left="940" w:hanging="360"/>
      </w:pPr>
      <w:rPr>
        <w:rFonts w:ascii="Quattrocento Sans" w:eastAsia="Quattrocento Sans" w:hAnsi="Quattrocento Sans" w:cs="Quattrocento Sans"/>
        <w:sz w:val="22"/>
        <w:szCs w:val="22"/>
      </w:rPr>
    </w:lvl>
    <w:lvl w:ilvl="2">
      <w:numFmt w:val="bullet"/>
      <w:lvlText w:val="•"/>
      <w:lvlJc w:val="left"/>
      <w:pPr>
        <w:ind w:left="1993" w:hanging="360"/>
      </w:pPr>
    </w:lvl>
    <w:lvl w:ilvl="3">
      <w:numFmt w:val="bullet"/>
      <w:lvlText w:val="•"/>
      <w:lvlJc w:val="left"/>
      <w:pPr>
        <w:ind w:left="3046" w:hanging="360"/>
      </w:pPr>
    </w:lvl>
    <w:lvl w:ilvl="4">
      <w:numFmt w:val="bullet"/>
      <w:lvlText w:val="•"/>
      <w:lvlJc w:val="left"/>
      <w:pPr>
        <w:ind w:left="4100" w:hanging="360"/>
      </w:pPr>
    </w:lvl>
    <w:lvl w:ilvl="5">
      <w:numFmt w:val="bullet"/>
      <w:lvlText w:val="•"/>
      <w:lvlJc w:val="left"/>
      <w:pPr>
        <w:ind w:left="5153" w:hanging="360"/>
      </w:pPr>
    </w:lvl>
    <w:lvl w:ilvl="6">
      <w:numFmt w:val="bullet"/>
      <w:lvlText w:val="•"/>
      <w:lvlJc w:val="left"/>
      <w:pPr>
        <w:ind w:left="6206" w:hanging="360"/>
      </w:pPr>
    </w:lvl>
    <w:lvl w:ilvl="7">
      <w:numFmt w:val="bullet"/>
      <w:lvlText w:val="•"/>
      <w:lvlJc w:val="left"/>
      <w:pPr>
        <w:ind w:left="7260" w:hanging="360"/>
      </w:pPr>
    </w:lvl>
    <w:lvl w:ilvl="8">
      <w:numFmt w:val="bullet"/>
      <w:lvlText w:val="•"/>
      <w:lvlJc w:val="left"/>
      <w:pPr>
        <w:ind w:left="8313" w:hanging="360"/>
      </w:pPr>
    </w:lvl>
  </w:abstractNum>
  <w:abstractNum w:abstractNumId="4" w15:restartNumberingAfterBreak="0">
    <w:nsid w:val="57D41C04"/>
    <w:multiLevelType w:val="multilevel"/>
    <w:tmpl w:val="D9ECAE66"/>
    <w:lvl w:ilvl="0">
      <w:start w:val="1"/>
      <w:numFmt w:val="decimal"/>
      <w:lvlText w:val="%1."/>
      <w:lvlJc w:val="left"/>
      <w:pPr>
        <w:ind w:left="940" w:hanging="360"/>
      </w:pPr>
      <w:rPr>
        <w:rFonts w:ascii="Calibri" w:eastAsia="Calibri" w:hAnsi="Calibri" w:cs="Calibri"/>
        <w:sz w:val="22"/>
        <w:szCs w:val="22"/>
      </w:rPr>
    </w:lvl>
    <w:lvl w:ilvl="1">
      <w:numFmt w:val="bullet"/>
      <w:lvlText w:val="•"/>
      <w:lvlJc w:val="left"/>
      <w:pPr>
        <w:ind w:left="1888" w:hanging="360"/>
      </w:pPr>
    </w:lvl>
    <w:lvl w:ilvl="2">
      <w:numFmt w:val="bullet"/>
      <w:lvlText w:val="•"/>
      <w:lvlJc w:val="left"/>
      <w:pPr>
        <w:ind w:left="2836" w:hanging="360"/>
      </w:pPr>
    </w:lvl>
    <w:lvl w:ilvl="3">
      <w:numFmt w:val="bullet"/>
      <w:lvlText w:val="•"/>
      <w:lvlJc w:val="left"/>
      <w:pPr>
        <w:ind w:left="3784" w:hanging="360"/>
      </w:pPr>
    </w:lvl>
    <w:lvl w:ilvl="4">
      <w:numFmt w:val="bullet"/>
      <w:lvlText w:val="•"/>
      <w:lvlJc w:val="left"/>
      <w:pPr>
        <w:ind w:left="4732" w:hanging="360"/>
      </w:pPr>
    </w:lvl>
    <w:lvl w:ilvl="5">
      <w:numFmt w:val="bullet"/>
      <w:lvlText w:val="•"/>
      <w:lvlJc w:val="left"/>
      <w:pPr>
        <w:ind w:left="5680" w:hanging="360"/>
      </w:pPr>
    </w:lvl>
    <w:lvl w:ilvl="6">
      <w:numFmt w:val="bullet"/>
      <w:lvlText w:val="•"/>
      <w:lvlJc w:val="left"/>
      <w:pPr>
        <w:ind w:left="6628" w:hanging="360"/>
      </w:pPr>
    </w:lvl>
    <w:lvl w:ilvl="7">
      <w:numFmt w:val="bullet"/>
      <w:lvlText w:val="•"/>
      <w:lvlJc w:val="left"/>
      <w:pPr>
        <w:ind w:left="7576" w:hanging="360"/>
      </w:pPr>
    </w:lvl>
    <w:lvl w:ilvl="8">
      <w:numFmt w:val="bullet"/>
      <w:lvlText w:val="•"/>
      <w:lvlJc w:val="left"/>
      <w:pPr>
        <w:ind w:left="8524" w:hanging="360"/>
      </w:pPr>
    </w:lvl>
  </w:abstractNum>
  <w:abstractNum w:abstractNumId="5" w15:restartNumberingAfterBreak="0">
    <w:nsid w:val="7E5965B8"/>
    <w:multiLevelType w:val="multilevel"/>
    <w:tmpl w:val="35B01CD0"/>
    <w:lvl w:ilvl="0">
      <w:start w:val="1"/>
      <w:numFmt w:val="decimal"/>
      <w:lvlText w:val="%1."/>
      <w:lvlJc w:val="left"/>
      <w:pPr>
        <w:ind w:left="1288" w:hanging="359"/>
      </w:pPr>
      <w:rPr>
        <w:rFonts w:ascii="Calibri" w:eastAsia="Calibri" w:hAnsi="Calibri" w:cs="Calibri"/>
        <w:b/>
        <w:sz w:val="22"/>
        <w:szCs w:val="22"/>
      </w:rPr>
    </w:lvl>
    <w:lvl w:ilvl="1">
      <w:start w:val="1"/>
      <w:numFmt w:val="upperLetter"/>
      <w:lvlText w:val="%2."/>
      <w:lvlJc w:val="left"/>
      <w:pPr>
        <w:ind w:left="220" w:hanging="247"/>
      </w:pPr>
      <w:rPr>
        <w:rFonts w:ascii="Calibri" w:eastAsia="Calibri" w:hAnsi="Calibri" w:cs="Calibri"/>
        <w:b/>
        <w:sz w:val="22"/>
        <w:szCs w:val="22"/>
      </w:rPr>
    </w:lvl>
    <w:lvl w:ilvl="2">
      <w:numFmt w:val="bullet"/>
      <w:lvlText w:val="•"/>
      <w:lvlJc w:val="left"/>
      <w:pPr>
        <w:ind w:left="2295" w:hanging="247"/>
      </w:pPr>
    </w:lvl>
    <w:lvl w:ilvl="3">
      <w:numFmt w:val="bullet"/>
      <w:lvlText w:val="•"/>
      <w:lvlJc w:val="left"/>
      <w:pPr>
        <w:ind w:left="3311" w:hanging="246"/>
      </w:pPr>
    </w:lvl>
    <w:lvl w:ilvl="4">
      <w:numFmt w:val="bullet"/>
      <w:lvlText w:val="•"/>
      <w:lvlJc w:val="left"/>
      <w:pPr>
        <w:ind w:left="4326" w:hanging="246"/>
      </w:pPr>
    </w:lvl>
    <w:lvl w:ilvl="5">
      <w:numFmt w:val="bullet"/>
      <w:lvlText w:val="•"/>
      <w:lvlJc w:val="left"/>
      <w:pPr>
        <w:ind w:left="5342" w:hanging="246"/>
      </w:pPr>
    </w:lvl>
    <w:lvl w:ilvl="6">
      <w:numFmt w:val="bullet"/>
      <w:lvlText w:val="•"/>
      <w:lvlJc w:val="left"/>
      <w:pPr>
        <w:ind w:left="6357" w:hanging="247"/>
      </w:pPr>
    </w:lvl>
    <w:lvl w:ilvl="7">
      <w:numFmt w:val="bullet"/>
      <w:lvlText w:val="•"/>
      <w:lvlJc w:val="left"/>
      <w:pPr>
        <w:ind w:left="7373" w:hanging="247"/>
      </w:pPr>
    </w:lvl>
    <w:lvl w:ilvl="8">
      <w:numFmt w:val="bullet"/>
      <w:lvlText w:val="•"/>
      <w:lvlJc w:val="left"/>
      <w:pPr>
        <w:ind w:left="8388" w:hanging="247"/>
      </w:pPr>
    </w:lvl>
  </w:abstractNum>
  <w:num w:numId="1">
    <w:abstractNumId w:val="0"/>
  </w:num>
  <w:num w:numId="2">
    <w:abstractNumId w:val="2"/>
  </w:num>
  <w:num w:numId="3">
    <w:abstractNumId w:val="5"/>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19EB"/>
    <w:rsid w:val="001429A0"/>
    <w:rsid w:val="005E6B00"/>
    <w:rsid w:val="009319EB"/>
    <w:rsid w:val="00B274A1"/>
    <w:rsid w:val="00B77151"/>
    <w:rsid w:val="00E128A4"/>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8329F4"/>
  <w15:docId w15:val="{43D230F7-E5A4-44A7-81E6-798760E05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ES" w:eastAsia="es-CL"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lang w:eastAsia="en-US"/>
    </w:rPr>
  </w:style>
  <w:style w:type="paragraph" w:styleId="Ttulo1">
    <w:name w:val="heading 1"/>
    <w:basedOn w:val="Normal"/>
    <w:uiPriority w:val="1"/>
    <w:qFormat/>
    <w:pPr>
      <w:ind w:left="940"/>
      <w:outlineLvl w:val="0"/>
    </w:pPr>
    <w:rPr>
      <w:b/>
      <w:bCs/>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ind w:left="940"/>
    </w:pPr>
  </w:style>
  <w:style w:type="paragraph" w:styleId="Prrafodelista">
    <w:name w:val="List Paragraph"/>
    <w:basedOn w:val="Normal"/>
    <w:uiPriority w:val="1"/>
    <w:qFormat/>
    <w:pPr>
      <w:ind w:left="940" w:hanging="360"/>
    </w:pPr>
  </w:style>
  <w:style w:type="paragraph" w:customStyle="1" w:styleId="TableParagraph">
    <w:name w:val="Table Paragraph"/>
    <w:basedOn w:val="Normal"/>
    <w:uiPriority w:val="1"/>
    <w:qFormat/>
    <w:pPr>
      <w:spacing w:before="1" w:line="247" w:lineRule="exact"/>
      <w:ind w:left="105"/>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Pr>
  </w:style>
  <w:style w:type="table" w:customStyle="1" w:styleId="a0">
    <w:basedOn w:val="TableNormal0"/>
    <w:tblPr>
      <w:tblStyleRowBandSize w:val="1"/>
      <w:tblStyleColBandSize w:val="1"/>
    </w:tblPr>
  </w:style>
  <w:style w:type="table" w:customStyle="1" w:styleId="a1">
    <w:basedOn w:val="TableNormal0"/>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qcs9UErlTTOiqKAVZJD4uGf15Ug==">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7</Pages>
  <Words>1766</Words>
  <Characters>9719</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Rodrigo</dc:creator>
  <cp:lastModifiedBy>Rodrigo</cp:lastModifiedBy>
  <cp:revision>3</cp:revision>
  <dcterms:created xsi:type="dcterms:W3CDTF">2025-04-11T16:27:00Z</dcterms:created>
  <dcterms:modified xsi:type="dcterms:W3CDTF">2025-04-22T20:27:00Z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2024-04-09T00:00:00Z</vt:filetime>
  </property>
  <property fmtid="{D5CDD505-2E9C-101B-9397-08002B2CF9AE}" pid="3" name="Creator">
    <vt:lpwstr>PDFium</vt:lpwstr>
  </property>
  <property fmtid="{D5CDD505-2E9C-101B-9397-08002B2CF9AE}" pid="4" name="LastSaved">
    <vt:filetime>2024-04-09T00:00:00Z</vt:filetime>
  </property>
</Properties>
</file>